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0.xml" ContentType="application/vnd.openxmlformats-officedocument.wordprocessingml.foot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2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bCs/>
          <w:sz w:val="24"/>
          <w:szCs w:val="24"/>
        </w:rPr>
        <w:t>«Утверждаю»</w:t>
      </w:r>
    </w:p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Заместитель Генерального директора </w:t>
      </w:r>
    </w:p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по управлению ресурсами </w:t>
      </w:r>
    </w:p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bCs/>
          <w:sz w:val="24"/>
          <w:szCs w:val="24"/>
        </w:rPr>
        <w:t>АО «Сахаэнерго»</w:t>
      </w:r>
    </w:p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bCs/>
          <w:sz w:val="24"/>
          <w:szCs w:val="24"/>
        </w:rPr>
        <w:t>____________________ /Федоров Д.А./</w:t>
      </w:r>
    </w:p>
    <w:p>
      <w:pPr>
        <w:pStyle w:val="Normal"/>
        <w:keepNext w:val="true"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t>«_____» _______________ 2026 года</w:t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91801-РЕМ ПРОД-2026-СахаЭ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ОКПД2 - 33.11.12.000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Ремонт резервуаров опасного производственного объекта склада  горюче-смазочных материалов ДЭС п. Нижнеянск Янских ЭС АО «Сахаэнерго»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/>
      </w:pPr>
      <w:r>
        <w:rPr>
          <w:b/>
        </w:rPr>
        <w:t>СОДЕРЖАНИЕ</w:t>
      </w:r>
    </w:p>
    <w:p>
      <w:pPr>
        <w:pStyle w:val="Normal"/>
        <w:rPr>
          <w:b/>
          <w:i/>
          <w:i/>
        </w:rPr>
      </w:pPr>
      <w:r>
        <w:rPr>
          <w:b/>
          <w:i/>
        </w:rPr>
      </w:r>
    </w:p>
    <w:p>
      <w:pPr>
        <w:pStyle w:val="TOC1"/>
        <w:tabs>
          <w:tab w:val="clear" w:pos="708"/>
          <w:tab w:val="right" w:pos="9921" w:leader="dot"/>
        </w:tabs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7" w:leader="none"/>
              <w:tab w:val="right" w:pos="9911" w:leader="dot"/>
            </w:tabs>
            <w:rPr>
              <w:caps/>
            </w:rPr>
          </w:pPr>
          <w:r>
            <w:fldChar w:fldCharType="begin"/>
          </w:r>
          <w:r>
            <w:rPr>
              <w:webHidden/>
              <w:rStyle w:val="Style15"/>
              <w:vanish w:val="false"/>
              <w:rFonts w:eastAsia="Calibri" w:cs="Times New Roman"/>
            </w:rPr>
            <w:instrText xml:space="preserve"> TOC \z \o "1-1" \u \h</w:instrText>
          </w:r>
          <w:r>
            <w:rPr>
              <w:webHidden/>
              <w:rStyle w:val="Style15"/>
              <w:vanish w:val="false"/>
              <w:rFonts w:eastAsia="Calibri" w:cs="Times New Roman"/>
            </w:rPr>
            <w:fldChar w:fldCharType="separate"/>
          </w:r>
          <w:hyperlink w:anchor="_Toc1" w:tgtFrame="#_Toc1">
            <w:r>
              <w:rPr>
                <w:webHidden/>
                <w:rStyle w:val="Style15"/>
                <w:rFonts w:eastAsia="Calibri" w:cs="Times New Roman"/>
                <w:vanish w:val="false"/>
              </w:rPr>
              <w:t>1.</w:t>
            </w:r>
            <w:r>
              <w:rPr>
                <w:rStyle w:val="Style15"/>
              </w:rPr>
              <w:tab/>
              <w:t>Общие сведения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caps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2" w:tgtFrame="#_Toc2">
            <w:r>
              <w:rPr>
                <w:webHidden/>
                <w:rStyle w:val="Style15"/>
                <w:rFonts w:eastAsia="Calibri" w:cs="Times New Roman"/>
                <w:vanish w:val="false"/>
              </w:rPr>
              <w:t>1.1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3" w:tgtFrame="#_Toc3">
            <w:r>
              <w:rPr>
                <w:webHidden/>
                <w:rStyle w:val="Style15"/>
                <w:rFonts w:eastAsia="Calibri" w:cs="Times New Roman"/>
                <w:vanish w:val="false"/>
              </w:rPr>
              <w:t>1.1.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4" w:tgtFrame="#_Toc4">
            <w:r>
              <w:rPr>
                <w:webHidden/>
                <w:rStyle w:val="Style15"/>
                <w:rFonts w:eastAsia="Calibri" w:cs="Times New Roman"/>
                <w:vanish w:val="false"/>
              </w:rPr>
              <w:t>1.2.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 xml:space="preserve">Цель выполнения работ 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5" w:tgtFrame="#_Toc5">
            <w:r>
              <w:rPr>
                <w:webHidden/>
                <w:rStyle w:val="Style15"/>
                <w:rFonts w:eastAsia="Calibri" w:cs="Times New Roman"/>
                <w:vanish w:val="false"/>
              </w:rPr>
              <w:t>1.3.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 xml:space="preserve">Иные требования и сведения общего характера 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7" w:leader="none"/>
              <w:tab w:val="right" w:pos="9911" w:leader="dot"/>
            </w:tabs>
            <w:rPr>
              <w:iCs/>
              <w:caps/>
            </w:rPr>
          </w:pPr>
          <w:hyperlink w:anchor="_Toc6" w:tgtFrame="#_Toc6">
            <w:r>
              <w:rPr>
                <w:webHidden/>
                <w:rStyle w:val="Style15"/>
                <w:rFonts w:eastAsia="Calibri" w:cs="Times New Roman"/>
                <w:vanish w:val="false"/>
              </w:rPr>
              <w:t>2.</w:t>
            </w:r>
            <w:r>
              <w:rPr>
                <w:rStyle w:val="Style15"/>
              </w:rPr>
              <w:tab/>
            </w:r>
            <w:r>
              <w:rPr>
                <w:rStyle w:val="Style15"/>
                <w:iCs/>
              </w:rPr>
              <w:t>Требования к продукции</w:t>
            </w:r>
            <w:r>
              <w:rPr>
                <w:rStyle w:val="Style15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iCs/>
                <w:caps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7" w:tgtFrame="#_Toc7">
            <w:r>
              <w:rPr>
                <w:webHidden/>
                <w:rStyle w:val="Style15"/>
                <w:rFonts w:eastAsia="Calibri" w:cs="Times New Roman"/>
                <w:vanish w:val="false"/>
              </w:rPr>
              <w:t>2.1.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Требования к объемам и срокам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8" w:tgtFrame="#_Toc8">
            <w:r>
              <w:rPr>
                <w:webHidden/>
                <w:rStyle w:val="Style15"/>
                <w:rFonts w:eastAsia="Calibri" w:cs="Times New Roman"/>
                <w:vanish w:val="false"/>
              </w:rPr>
              <w:t>2.1.1.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Требования к видам и объемам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9" w:tgtFrame="#_Toc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 xml:space="preserve">Таблица 2. Перечень и объем выполняемых работ 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0" w:tgtFrame="#_Toc1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>Таблица 3. Перечень и объем оказываемых услуг по техническому освидетельствованию (диагностированию) внутренней части резервуаров</w:t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1" w:tgtFrame="#_Toc11">
            <w:r>
              <w:rPr>
                <w:webHidden/>
                <w:rStyle w:val="Style15"/>
                <w:vanish w:val="false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Таблица 4. Перечень и объем оказываемых услуг по экспертизе промышленной безопасности</w:t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12" w:tgtFrame="#_Toc12">
            <w:r>
              <w:rPr>
                <w:webHidden/>
                <w:rStyle w:val="Style15"/>
                <w:rFonts w:eastAsia="Calibri" w:cs="Times New Roman"/>
                <w:vanish w:val="false"/>
              </w:rPr>
              <w:t>1.1.2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Требования к срокам выполнения работ</w:t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3" w:tgtFrame="#_Toc1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>Таблица 5. Требования по срокам выполнения работа</w:t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/>
          </w:pPr>
          <w:hyperlink w:anchor="_Toc14" w:tgtFrame="#_Toc14">
            <w:r>
              <w:rPr>
                <w:webHidden/>
                <w:rStyle w:val="Style15"/>
                <w:rFonts w:eastAsia="Calibri" w:cs="Times New Roman"/>
                <w:vanish w:val="false"/>
              </w:rPr>
              <w:t>2.2.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Требования к качеству работ</w:t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5" w:tgtFrame="#_Toc1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 xml:space="preserve">Таблица 6. Требования к качеству работ </w:t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850" w:leader="none"/>
              <w:tab w:val="right" w:pos="9911" w:leader="dot"/>
            </w:tabs>
            <w:rPr>
              <w:rFonts w:eastAsia="Times New Roman"/>
            </w:rPr>
          </w:pPr>
          <w:hyperlink w:anchor="_Toc16" w:tgtFrame="#_Toc16">
            <w:r>
              <w:rPr>
                <w:webHidden/>
                <w:rStyle w:val="Style15"/>
                <w:rFonts w:eastAsia="Times New Roman" w:cs="Times New Roman"/>
                <w:vanish w:val="false"/>
              </w:rPr>
              <w:t>2.3.</w:t>
            </w:r>
            <w:r>
              <w:rPr>
                <w:rStyle w:val="Style15"/>
              </w:rPr>
              <w:tab/>
            </w:r>
            <w:r>
              <w:rPr>
                <w:rStyle w:val="Style15"/>
                <w:rFonts w:eastAsia="Times New Roman"/>
              </w:rPr>
              <w:t>Требования к качеству услуг</w:t>
            </w:r>
            <w:r>
              <w:rPr>
                <w:rStyle w:val="Style15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rFonts w:eastAsia="Times New Roman"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7" w:tgtFrame="#_Toc17">
            <w:r>
              <w:rPr>
                <w:webHidden/>
                <w:rStyle w:val="Style15"/>
                <w:rFonts w:eastAsia="Times New Roman"/>
                <w:vanish w:val="false"/>
              </w:rPr>
              <w:t xml:space="preserve">Таблица 7. Требования к качеству услуг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8" w:tgtFrame="#_Toc18">
            <w:r>
              <w:rPr>
                <w:webHidden/>
                <w:rStyle w:val="Style15"/>
                <w:vanish w:val="false"/>
              </w:rPr>
              <w:t>3. Требования к Участнику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ab/>
              <w:t>30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/>
          </w:pPr>
          <w:hyperlink w:anchor="_Toc19" w:tgtFrame="#_Toc1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>4. Требования к Участникам закупочных процедур в части ценообразования</w:t>
              <w:tab/>
              <w:t>32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iCs/>
              <w:caps/>
            </w:rPr>
          </w:pPr>
          <w:hyperlink w:anchor="_Toc20" w:tgtFrame="#_Toc20">
            <w:r>
              <w:rPr>
                <w:webHidden/>
                <w:rStyle w:val="Style15"/>
                <w:iCs/>
                <w:vanish w:val="false"/>
              </w:rPr>
              <w:t>5. Приложения</w:t>
            </w:r>
            <w:r>
              <w:rPr>
                <w:rStyle w:val="Style15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  <w:iCs/>
                <w:caps/>
              </w:rPr>
              <w:t>33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5"/>
              <w:caps/>
              <w:iCs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ascii="Calibri" w:hAnsi="Calibri" w:eastAsia="Arial" w:cs="Arial" w:asciiTheme="minorHAnsi" w:cstheme="minorBidi" w:eastAsiaTheme="minorEastAsia" w:hAnsiTheme="minorHAnsi"/>
          <w:b w:val="false"/>
          <w:bCs w:val="false"/>
          <w:sz w:val="22"/>
          <w:szCs w:val="22"/>
        </w:rPr>
      </w:pPr>
      <w:r>
        <w:rPr>
          <w:rFonts w:eastAsia="Arial" w:cs="Arial" w:cstheme="minorBidi" w:eastAsiaTheme="minorEastAsia" w:ascii="Calibri" w:hAnsi="Calibri"/>
          <w:b w:val="false"/>
          <w:bCs w:val="false"/>
          <w:sz w:val="22"/>
          <w:szCs w:val="22"/>
        </w:rPr>
      </w:r>
    </w:p>
    <w:p>
      <w:pPr>
        <w:pStyle w:val="Normal"/>
        <w:rPr>
          <w:rFonts w:cs="Calibri Light (Заголовки)"/>
          <w:b/>
          <w:bCs/>
          <w:sz w:val="24"/>
          <w:szCs w:val="24"/>
        </w:rPr>
      </w:pPr>
      <w:r>
        <w:rPr>
          <w:rFonts w:cs="Calibri Light (Заголовки)"/>
          <w:b/>
          <w:bCs/>
          <w:sz w:val="24"/>
          <w:szCs w:val="24"/>
        </w:rPr>
      </w:r>
      <w:r>
        <w:br w:type="page"/>
      </w:r>
    </w:p>
    <w:p>
      <w:pPr>
        <w:pStyle w:val="TOC1"/>
        <w:tabs>
          <w:tab w:val="clear" w:pos="708"/>
          <w:tab w:val="right" w:pos="9921" w:leader="dot"/>
        </w:tabs>
        <w:rPr/>
      </w:pPr>
      <w:r>
        <w:rPr/>
      </w:r>
    </w:p>
    <w:p>
      <w:pPr>
        <w:pStyle w:val="Heading1"/>
        <w:numPr>
          <w:ilvl w:val="0"/>
          <w:numId w:val="3"/>
        </w:numPr>
        <w:rPr>
          <w:caps/>
        </w:rPr>
      </w:pPr>
      <w:bookmarkStart w:id="0" w:name="__RefHeading___Toc15523_366233758"/>
      <w:bookmarkStart w:id="1" w:name="_Toc1"/>
      <w:bookmarkEnd w:id="0"/>
      <w:r>
        <w:rPr/>
        <w:t>Общие сведения</w:t>
      </w:r>
      <w:bookmarkEnd w:id="1"/>
    </w:p>
    <w:p>
      <w:pPr>
        <w:pStyle w:val="ListParagraph"/>
        <w:numPr>
          <w:ilvl w:val="1"/>
          <w:numId w:val="9"/>
        </w:numPr>
        <w:outlineLvl w:val="0"/>
        <w:rPr>
          <w:b/>
        </w:rPr>
      </w:pPr>
      <w:bookmarkStart w:id="2" w:name="__RefHeading___Toc15525_366233758"/>
      <w:bookmarkStart w:id="3" w:name="_Toc2"/>
      <w:bookmarkEnd w:id="2"/>
      <w:r>
        <w:rPr>
          <w:b/>
        </w:rPr>
        <w:t>Обозначения и сокращения</w:t>
      </w:r>
      <w:bookmarkEnd w:id="3"/>
    </w:p>
    <w:p>
      <w:pPr>
        <w:pStyle w:val="Normal"/>
        <w:rPr>
          <w:rStyle w:val="Style9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Горюче-смазочные материалы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ДЭС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Дизельная электростанция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ЭПБ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>
                <w:rStyle w:val="Style9"/>
                <w:b w:val="false"/>
                <w:bCs/>
                <w:i w:val="false"/>
                <w:i w:val="false"/>
                <w:iCs/>
                <w:sz w:val="24"/>
                <w:szCs w:val="24"/>
                <w:shd w:fill="auto" w:val="clear"/>
              </w:rPr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Экспертиза промышленной безопасности</w:t>
            </w:r>
          </w:p>
        </w:tc>
      </w:tr>
      <w:tr>
        <w:trPr/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 (Д)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>
                <w:rStyle w:val="Style9"/>
                <w:b w:val="false"/>
                <w:bCs/>
                <w:i w:val="false"/>
                <w:i w:val="false"/>
                <w:iCs/>
                <w:sz w:val="24"/>
                <w:szCs w:val="24"/>
                <w:shd w:fill="auto" w:val="clear"/>
              </w:rPr>
            </w:pPr>
            <w:r>
              <w:rPr>
                <w:rStyle w:val="Style9"/>
                <w:b w:val="false"/>
                <w:bCs/>
                <w:i w:val="false"/>
                <w:iCs/>
                <w:sz w:val="24"/>
                <w:szCs w:val="24"/>
                <w:shd w:fill="auto" w:val="clear"/>
              </w:rPr>
              <w:t>Техническое освидетельствование (диагностирование)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КС-2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bCs/>
                <w:color w:val="202124"/>
                <w:sz w:val="24"/>
                <w:szCs w:val="24"/>
                <w:shd w:fill="FFFFFF" w:val="clear"/>
              </w:rPr>
              <w:t>Форма акта о приемке выполненных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КС-3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bCs/>
                <w:color w:val="202124"/>
                <w:sz w:val="24"/>
                <w:szCs w:val="24"/>
                <w:shd w:fill="FFFFFF" w:val="clear"/>
              </w:rPr>
              <w:t>Форма справки о стоимости выполненных работ и затрат</w:t>
            </w:r>
          </w:p>
        </w:tc>
      </w:tr>
      <w:tr>
        <w:trPr>
          <w:trHeight w:val="609" w:hRule="atLeast"/>
          <w:cantSplit w:val="true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sz w:val="24"/>
                <w:szCs w:val="24"/>
              </w:rPr>
              <w:t>ОС-3</w:t>
            </w:r>
          </w:p>
        </w:tc>
        <w:tc>
          <w:tcPr>
            <w:tcW w:w="7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0"/>
              <w:jc w:val="both"/>
              <w:rPr/>
            </w:pPr>
            <w:r>
              <w:rPr>
                <w:bCs/>
                <w:color w:val="202124"/>
                <w:sz w:val="24"/>
                <w:szCs w:val="24"/>
                <w:shd w:fill="FFFFFF" w:val="clear"/>
              </w:rPr>
              <w:t>Акт о приеме-сдаче отремонтированных, реконструированных, модернизированных объектов основных средств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1"/>
        <w:numPr>
          <w:ilvl w:val="1"/>
          <w:numId w:val="3"/>
        </w:numPr>
        <w:rPr/>
      </w:pPr>
      <w:bookmarkStart w:id="4" w:name="__RefHeading___Toc15527_366233758"/>
      <w:bookmarkStart w:id="5" w:name="_Toc3"/>
      <w:bookmarkEnd w:id="4"/>
      <w:r>
        <w:rPr/>
        <w:t>Наименование закупаемой продукции</w:t>
      </w:r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rFonts w:eastAsia="Calibri"/>
          <w:sz w:val="24"/>
          <w:szCs w:val="24"/>
        </w:rPr>
        <w:t>ОКПД2 - 33.11.12.000 Ремонт резервуаров опасного производственного объекта склада  горюче-смазочных материалов ДЭС п. Нижнеянск Янских ЭС АО «Сахаэнерго»</w:t>
      </w:r>
    </w:p>
    <w:p>
      <w:pPr>
        <w:pStyle w:val="Heading1"/>
        <w:numPr>
          <w:ilvl w:val="1"/>
          <w:numId w:val="3"/>
        </w:numPr>
        <w:rPr>
          <w:rStyle w:val="Style9"/>
          <w:b/>
        </w:rPr>
      </w:pPr>
      <w:bookmarkStart w:id="6" w:name="__RefHeading___Toc15529_366233758"/>
      <w:bookmarkStart w:id="7" w:name="_Toc4"/>
      <w:bookmarkEnd w:id="6"/>
      <w:r>
        <w:rPr/>
        <w:t xml:space="preserve">Цель выполнения работ </w:t>
      </w:r>
      <w:bookmarkEnd w:id="7"/>
    </w:p>
    <w:p>
      <w:pPr>
        <w:pStyle w:val="Normal"/>
        <w:jc w:val="both"/>
        <w:rPr/>
      </w:pPr>
      <w:r>
        <w:rPr>
          <w:rFonts w:eastAsia="Calibri"/>
          <w:bCs/>
          <w:sz w:val="24"/>
          <w:szCs w:val="24"/>
        </w:rPr>
        <w:t>Ремонтная программа 2026 г.</w:t>
      </w:r>
    </w:p>
    <w:p>
      <w:pPr>
        <w:pStyle w:val="Heading4"/>
        <w:tabs>
          <w:tab w:val="clear" w:pos="0"/>
        </w:tabs>
        <w:ind w:left="432" w:hanging="432"/>
        <w:rPr/>
      </w:pPr>
      <w:bookmarkStart w:id="8" w:name="__RefHeading___Toc15531_366233758"/>
      <w:bookmarkEnd w:id="8"/>
      <w:r>
        <w:rPr/>
        <w:t>Таблица 1. Перечень объектов заказчика</w:t>
      </w:r>
    </w:p>
    <w:tbl>
      <w:tblPr>
        <w:tblW w:w="9918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17"/>
        <w:gridCol w:w="2569"/>
        <w:gridCol w:w="2279"/>
        <w:gridCol w:w="2680"/>
        <w:gridCol w:w="1573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881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Склад горюче-смазочных материалов ДЭС п. Нижнеянск Янских ЭС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Республика Саха (Якутия), Усть-Янский район, </w:t>
            </w:r>
            <w:r>
              <w:rPr>
                <w:i/>
                <w:sz w:val="24"/>
                <w:szCs w:val="24"/>
              </w:rPr>
              <w:t>п. Нижнеянск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Heading1"/>
        <w:numPr>
          <w:ilvl w:val="1"/>
          <w:numId w:val="3"/>
        </w:numPr>
        <w:rPr>
          <w:rStyle w:val="Style9"/>
          <w:b/>
        </w:rPr>
      </w:pPr>
      <w:bookmarkStart w:id="9" w:name="__RefHeading___Toc15533_366233758"/>
      <w:bookmarkStart w:id="10" w:name="_Toc5"/>
      <w:bookmarkEnd w:id="9"/>
      <w:r>
        <w:rPr/>
        <w:t xml:space="preserve">Иные требования и сведения общего характера </w:t>
      </w:r>
      <w:bookmarkEnd w:id="10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Полная детализация выполняемых работ указана в перечне и объемах выполняемых работ (Таблица № 2), являющейся неотъемлемой частью настоящих технических требований.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3"/>
        </w:numPr>
        <w:ind w:left="0" w:hanging="0"/>
        <w:rPr>
          <w:iCs/>
          <w:caps/>
        </w:rPr>
      </w:pPr>
      <w:bookmarkStart w:id="11" w:name="__RefHeading___Toc15535_366233758"/>
      <w:bookmarkStart w:id="12" w:name="_Toc6"/>
      <w:bookmarkEnd w:id="11"/>
      <w:r>
        <w:rPr>
          <w:iCs/>
        </w:rPr>
        <w:t>Требования к продукции</w:t>
      </w:r>
      <w:bookmarkEnd w:id="12"/>
    </w:p>
    <w:p>
      <w:pPr>
        <w:pStyle w:val="Heading1"/>
        <w:numPr>
          <w:ilvl w:val="1"/>
          <w:numId w:val="3"/>
        </w:numPr>
        <w:rPr>
          <w:sz w:val="24"/>
          <w:szCs w:val="24"/>
        </w:rPr>
      </w:pPr>
      <w:bookmarkStart w:id="13" w:name="_Toc7"/>
      <w:r>
        <w:rPr>
          <w:sz w:val="24"/>
          <w:szCs w:val="24"/>
        </w:rPr>
        <w:t>Требования к объемам и срокам выполнения работ</w:t>
      </w:r>
      <w:bookmarkEnd w:id="13"/>
    </w:p>
    <w:p>
      <w:pPr>
        <w:pStyle w:val="Heading1"/>
        <w:numPr>
          <w:ilvl w:val="2"/>
          <w:numId w:val="3"/>
        </w:numPr>
        <w:ind w:left="0" w:hanging="0"/>
        <w:rPr>
          <w:sz w:val="24"/>
          <w:szCs w:val="24"/>
        </w:rPr>
      </w:pPr>
      <w:bookmarkStart w:id="14" w:name="__RefHeading___Toc15539_366233758"/>
      <w:bookmarkStart w:id="15" w:name="_Toc8"/>
      <w:bookmarkEnd w:id="14"/>
      <w:r>
        <w:rPr>
          <w:sz w:val="24"/>
          <w:szCs w:val="24"/>
        </w:rPr>
        <w:t>Требования к видам и объемам работ</w:t>
      </w:r>
      <w:bookmarkEnd w:id="15"/>
    </w:p>
    <w:p>
      <w:pPr>
        <w:pStyle w:val="Heading1"/>
        <w:tabs>
          <w:tab w:val="clear" w:pos="0"/>
        </w:tabs>
        <w:ind w:left="0" w:hanging="0"/>
        <w:rPr>
          <w:sz w:val="24"/>
          <w:szCs w:val="24"/>
        </w:rPr>
      </w:pPr>
      <w:bookmarkStart w:id="16" w:name="__RefHeading___Toc15541_366233758"/>
      <w:bookmarkStart w:id="17" w:name="_Toc9"/>
      <w:bookmarkEnd w:id="16"/>
      <w:r>
        <w:rPr>
          <w:sz w:val="24"/>
          <w:szCs w:val="24"/>
        </w:rPr>
        <w:t xml:space="preserve">Таблица 2. Перечень и объем выполняемых работ </w:t>
      </w:r>
      <w:bookmarkEnd w:id="17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133" w:type="dxa"/>
        <w:jc w:val="left"/>
        <w:tblInd w:w="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4"/>
        <w:gridCol w:w="5123"/>
        <w:gridCol w:w="2092"/>
        <w:gridCol w:w="2093"/>
      </w:tblGrid>
      <w:tr>
        <w:trPr>
          <w:trHeight w:val="537" w:hRule="atLeast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работ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>
        <w:trPr>
          <w:trHeight w:val="791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1. Ремонт резервуара РВС-750 м3 № 2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Демонтаж существующего предохранительного клапана КПГ-150 УХЛ на фланцевом соединении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предохранительного клапана КПГ-150 УХЛ  на фланцевом соединении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Демонтаж патрубка d-200 мм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заплатки с помощью ручной дуговой сварки из листа 4мм d=0,320м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м/м2/тн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1/0,50/0,024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дефектов Отп200, Отп200, Отп1900х700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Зачистка на стенке резервуара (лист 4 мм) с помощью УШМ (болгарка)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2,300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Подварка стенки резервуара с наружной стороны в 2 прохода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4,600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Зачистить основной шов до чистого металла армированными абразивными кругами и зачистить металлической щеткой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2,300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бортовой полосы на кровле резервуара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Бортовая полоса по периметру резервуара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32,730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Полоса стальная 150*4 мм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/ 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32,730 / 0,154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Антикоррозионное покрытие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Грунтовка ГФ-021 ГОСТ 25129-82 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 / кг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/ 2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Эмаль ПФ-115 (серая) ГОСТ 6465-76 в 2 раза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 / кг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/ 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2. Ремонт резервуара РВС-1000 м3 № 1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Дегазация и зачистка резервуара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Дегазация резервуаров принудительной вентиляцией Вентилятор ВСП-1500/220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 / час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>
          <w:trHeight w:val="323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Зачистка днища резервуаров от шлама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 / м3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 / 5,950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и демонтаж передвижных лесов (горизонтальной проекции) 2(Ш)*4(Д)*6(В) м.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>
        <w:trPr>
          <w:trHeight w:val="323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Первичная мойка, откачка продуктов первичной мойки (стены и днище)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>
        <w:trPr>
          <w:trHeight w:val="323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Протирка поверхности внутри резервуара ветошью (стены и днище)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газоанализатором с целью контроля состояния воздушной среды внутри резервуара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и складирование отработанного продукта, шлама и ветоши на расстояние до 200 м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дыхательного клапана КДС-ПО-1500 DN150 с огнепреградителем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Ручная дуговая сварка усиливающего листа 6мм d=0,550м  (47,1кг/м) 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м/м2/тн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1,73/0,24/0,012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3. Ремонт резервуара РГС-50 м3 № 4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дыхательного клапана СМДК-50 для резервуаров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Ручная дуговая сварка усиливающего листа 6мм d=0,250м  (47,1кг/м) 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м/м2/тн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0,85/0,12/0,06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4. Молниезащита и заземление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Монтаж молниеприемника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бесшовная горячедеформированная В 57х4 Ст20 ГОСТ 8732-78, ГОСТ 8731-74 Молниеприемник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12/0,062</w:t>
            </w:r>
          </w:p>
        </w:tc>
      </w:tr>
      <w:tr>
        <w:trPr>
          <w:trHeight w:val="537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стальная электросварная прямошовная 32х2.5мм Ст3 ГОСТ 10704-91 Молниеприемник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12/0,026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стальной 16мм Ст20 ГОСТ 2590-2006 Молниеприемник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11,4/0,018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Арматура стальная 8мм А-III 25ГС А400 ГОСТ 5781  Молниеприемник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м/тн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7,8/0,003</w:t>
            </w:r>
          </w:p>
        </w:tc>
      </w:tr>
      <w:tr>
        <w:trPr>
          <w:trHeight w:val="300" w:hRule="atLeast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2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Грунт-эмаль по ржавчине 3 в 1 серая 0.9кг,</w:t>
            </w:r>
          </w:p>
        </w:tc>
        <w:tc>
          <w:tcPr>
            <w:tcW w:w="209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м2/кг</w:t>
            </w:r>
          </w:p>
        </w:tc>
        <w:tc>
          <w:tcPr>
            <w:tcW w:w="20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1,7/1</w:t>
            </w:r>
          </w:p>
        </w:tc>
      </w:tr>
    </w:tbl>
    <w:p>
      <w:pPr>
        <w:pStyle w:val="Normal"/>
        <w:rPr>
          <w:sz w:val="24"/>
          <w:szCs w:val="24"/>
        </w:rPr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left="0" w:hanging="0"/>
        <w:rPr>
          <w:shd w:fill="FFFF00" w:val="clear"/>
        </w:rPr>
      </w:pPr>
      <w:r>
        <w:rPr>
          <w:shd w:fill="FFFF00" w:val="clear"/>
        </w:rPr>
      </w:r>
    </w:p>
    <w:p>
      <w:pPr>
        <w:pStyle w:val="ListParagraph"/>
        <w:keepNext w:val="true"/>
        <w:numPr>
          <w:ilvl w:val="2"/>
          <w:numId w:val="9"/>
        </w:numPr>
        <w:spacing w:before="120" w:after="60"/>
        <w:contextualSpacing w:val="false"/>
        <w:outlineLvl w:val="0"/>
        <w:rPr>
          <w:b/>
          <w:bCs/>
          <w:vanish/>
        </w:rPr>
      </w:pPr>
      <w:r>
        <w:rPr>
          <w:b/>
          <w:bCs/>
          <w:vanish/>
        </w:rPr>
      </w:r>
    </w:p>
    <w:p>
      <w:pPr>
        <w:pStyle w:val="Heading1"/>
        <w:numPr>
          <w:ilvl w:val="2"/>
          <w:numId w:val="9"/>
        </w:numPr>
        <w:rPr>
          <w:bCs/>
          <w:sz w:val="24"/>
          <w:szCs w:val="24"/>
        </w:rPr>
      </w:pPr>
      <w:bookmarkStart w:id="18" w:name="_Toc12"/>
      <w:r>
        <w:rPr>
          <w:bCs/>
          <w:sz w:val="24"/>
          <w:szCs w:val="24"/>
        </w:rPr>
        <w:t>Требования к срокам выполнения работ</w:t>
      </w:r>
      <w:bookmarkEnd w:id="18"/>
    </w:p>
    <w:p>
      <w:pPr>
        <w:pStyle w:val="Normal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Heading1"/>
        <w:tabs>
          <w:tab w:val="clear" w:pos="0"/>
        </w:tabs>
        <w:ind w:left="0" w:hanging="0"/>
        <w:rPr>
          <w:b w:val="false"/>
          <w:bCs/>
          <w:sz w:val="24"/>
          <w:szCs w:val="24"/>
        </w:rPr>
      </w:pPr>
      <w:bookmarkStart w:id="19" w:name="_Toc13"/>
      <w:r>
        <w:rPr>
          <w:bCs/>
          <w:sz w:val="24"/>
          <w:szCs w:val="24"/>
        </w:rPr>
        <w:t>Таблица 3. Требования по срокам выполнения работа</w:t>
      </w:r>
      <w:bookmarkEnd w:id="19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5"/>
        <w:gridCol w:w="4309"/>
        <w:gridCol w:w="2432"/>
        <w:gridCol w:w="2469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ОКПД2 - 33.11.12.000 Ремонт резервуаров опасного производственного объекта склада  горюче-смазочных материалов ДЭС п. Нижнеянск Янских ЭС АО «Сахаэнерго»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позднее 10.09.2026 года</w:t>
            </w:r>
          </w:p>
        </w:tc>
      </w:tr>
    </w:tbl>
    <w:p>
      <w:pPr>
        <w:sectPr>
          <w:headerReference w:type="even" r:id="rId2"/>
          <w:headerReference w:type="default" r:id="rId3"/>
          <w:footerReference w:type="default" r:id="rId4"/>
          <w:footerReference w:type="first" r:id="rId5"/>
          <w:type w:val="nextPage"/>
          <w:pgSz w:w="11906" w:h="16838"/>
          <w:pgMar w:left="1134" w:right="851" w:gutter="0" w:header="0" w:top="680" w:footer="992" w:bottom="1597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1"/>
        <w:numPr>
          <w:ilvl w:val="1"/>
          <w:numId w:val="3"/>
        </w:numPr>
        <w:rPr/>
      </w:pPr>
      <w:bookmarkStart w:id="20" w:name="__RefHeading___Toc15545_366233758_Копия_"/>
      <w:bookmarkStart w:id="21" w:name="_Toc14"/>
      <w:bookmarkEnd w:id="20"/>
      <w:r>
        <w:rPr/>
        <w:t>Требования к качеству работ</w:t>
      </w:r>
      <w:bookmarkEnd w:id="21"/>
    </w:p>
    <w:p>
      <w:pPr>
        <w:pStyle w:val="Heading1"/>
        <w:tabs>
          <w:tab w:val="clear" w:pos="0"/>
        </w:tabs>
        <w:ind w:left="0" w:hanging="0"/>
        <w:rPr/>
      </w:pPr>
      <w:bookmarkStart w:id="22" w:name="__RefHeading___Toc15549_366233758"/>
      <w:bookmarkStart w:id="23" w:name="_Toc15"/>
      <w:bookmarkEnd w:id="22"/>
      <w:r>
        <w:rPr/>
        <w:t xml:space="preserve">Таблица 5. Требования к качеству работ </w:t>
      </w:r>
      <w:bookmarkEnd w:id="23"/>
    </w:p>
    <w:p>
      <w:pPr>
        <w:pStyle w:val="Normal"/>
        <w:spacing w:before="0" w:after="120"/>
        <w:rPr>
          <w:rStyle w:val="Style9"/>
          <w:i w:val="false"/>
          <w:i w:val="false"/>
          <w:sz w:val="24"/>
          <w:shd w:fill="auto" w:val="clear"/>
        </w:rPr>
      </w:pPr>
      <w:r>
        <w:rPr>
          <w:b/>
          <w:bCs/>
          <w:sz w:val="24"/>
          <w:szCs w:val="24"/>
        </w:rPr>
        <w:t xml:space="preserve">Наименование работ/этапа работ (Таблицы 3, 4 «Перечень и объем оказываемых услуг»): </w:t>
      </w:r>
      <w:r>
        <w:rPr>
          <w:rStyle w:val="Style9"/>
          <w:rFonts w:eastAsia="Calibri"/>
          <w:bCs/>
          <w:i w:val="false"/>
          <w:sz w:val="26"/>
          <w:szCs w:val="26"/>
          <w:shd w:fill="auto" w:val="clear"/>
        </w:rPr>
        <w:t>Ремонт резервуаров опасного производственного объекта склада  горюче-смазочных материалов ДЭС п. Нижнеянск Янских ЭС АО «Сахаэнерго»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tbl>
      <w:tblPr>
        <w:tblStyle w:val="53"/>
        <w:tblW w:w="15309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17"/>
        <w:gridCol w:w="3331"/>
        <w:gridCol w:w="369"/>
        <w:gridCol w:w="3821"/>
        <w:gridCol w:w="1862"/>
        <w:gridCol w:w="2469"/>
        <w:gridCol w:w="2639"/>
      </w:tblGrid>
      <w:tr>
        <w:trPr/>
        <w:tc>
          <w:tcPr>
            <w:tcW w:w="81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700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3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3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1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700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46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1</w:t>
            </w:r>
          </w:p>
        </w:tc>
        <w:tc>
          <w:tcPr>
            <w:tcW w:w="3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2</w:t>
            </w:r>
          </w:p>
        </w:tc>
        <w:tc>
          <w:tcPr>
            <w:tcW w:w="3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3</w:t>
            </w:r>
          </w:p>
        </w:tc>
        <w:tc>
          <w:tcPr>
            <w:tcW w:w="18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4</w:t>
            </w:r>
          </w:p>
        </w:tc>
        <w:tc>
          <w:tcPr>
            <w:tcW w:w="246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5</w:t>
            </w:r>
          </w:p>
        </w:tc>
        <w:tc>
          <w:tcPr>
            <w:tcW w:w="263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0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Полная детализация выполняемых работ указана в перечне объемов работ (Таблица №2), являющейся неотъемлемой частью настоящих технических требований.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Результат работ должен соответствовать: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9" w:leader="none"/>
              </w:tabs>
              <w:spacing w:before="0" w:after="0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- Настоящим техническим требованиям,</w:t>
            </w: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 xml:space="preserve"> перечню и</w:t>
            </w: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 xml:space="preserve"> объемам работ, являющейся неотъемлемой частью настоящих технических требований (Таблица №2) и условиям договора;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7" w:leader="none"/>
              </w:tabs>
              <w:spacing w:before="0" w:after="0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- Требованиям, предъявляемым к такому виду работ действующей нормативно-технической документацией, законодательством РФ и подзаконными актами.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1.1.3</w:t>
            </w:r>
            <w:r>
              <w:rPr>
                <w:rFonts w:eastAsia="Tahoma" w:cs="Lohit Devanagari"/>
                <w:kern w:val="0"/>
                <w:lang w:val="ru-RU" w:eastAsia="ru-RU" w:bidi="ar-SA"/>
              </w:rPr>
              <w:t>.</w:t>
            </w:r>
          </w:p>
        </w:tc>
        <w:tc>
          <w:tcPr>
            <w:tcW w:w="752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1.1.4.</w:t>
            </w:r>
          </w:p>
        </w:tc>
        <w:tc>
          <w:tcPr>
            <w:tcW w:w="752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1.1.5.</w:t>
            </w:r>
          </w:p>
        </w:tc>
        <w:tc>
          <w:tcPr>
            <w:tcW w:w="752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lang w:val="ru-RU"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eastAsia="Arial Unicode MS" w:cs="Lohit Devanagari"/>
                <w:kern w:val="0"/>
                <w:sz w:val="24"/>
                <w:szCs w:val="24"/>
                <w:lang w:val="ru-RU" w:eastAsia="ru-RU" w:bidi="ar-SA"/>
              </w:rPr>
              <w:t>Последовательность и сроки выполнения работ определяются календарным графиком выполнения работ (таблица № 3.1 Технических требований) и проектом производства работ (ППР), который разрабатывается Подрядчиком и согласовывается Заказчиком.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Для фиксации выполнения скрытых работ Подрядчик готовит акты скрытых работ, приглашает представителя Заказчика для предъявления таких работ и подписания актов до момента выполнения последующих работ.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Работы выполняются в строгом соответствии с: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условиями договора подряда, перечню и объемам выполняемых работ (таблица № 2), календарным графиком (таблица № 3.1), восстановленной проектной документации, являющихся неотъемлемой частью настоящих технических требований.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 w:cs="Lohit Devanagari"/>
                <w:kern w:val="0"/>
                <w:sz w:val="24"/>
                <w:szCs w:val="24"/>
                <w:lang w:val="ru-RU" w:eastAsia="ru-RU" w:bidi="ar-SA"/>
              </w:rPr>
              <w:t>Работы должны быть организованы в соответствии с «Правилами организации технического обслуживания и ремонта оборудования, зданий и сооружений электростанций и сетей» СО 34.04.181-2003, Регламентом «Допуска подрядных организаций и командированного персонала на объекты АО «Сахаэнерго» ИСМ РГ-00-017.03-23 (Приложение №1 к настоящим Техническим требованиям) и другими действующими нормативными документами отрасли. Подрядчик должен разработать, согласовать с Заказчиком и выполнить комплекс организационно-технических подготовительных мероприятий в соответствии с п. 2.7 СО 34.04.181-2003, в том числе предоставить Приказ по предприятию о назначении руководителя ремонта и отчитаться по выполнению подготовительных мероприятий за 10 дней до начала ремонта.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Вся полнота ответственности при выполнении работ на объекте за соблюдением норм и правил по охране труда и пожарной безопасности возлагается на Подрядчика. Организация и выполнение работ должны осуществляться при соблюдении законодательства Российской Федерации об охране труда, а также иных нормативных правовых актов, строительных норм и правил, сводов правил по проектированию и строительству, межотраслевых и отраслевых правил и типовых инструкций по охране труда, правил и инструкций по технике безопасности, утвержденных в установленном порядке, государственных стандартов системы стандартов безопасности труда, правил безопасности,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коллективной защите работающих (ограждения, освещение, защитные и предохранительные устройства), при необходимости наличием санитарно-бытовых помещений и устройств в соответствии с действующими нормами.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Организация работ, должна обеспечивать безопасность труда работающих на всех этапах выполнения строительно-монтажных работ. Рабочие места должны быть ограждены, а в вечернее время при необходимости должны быть освещены по установленным нормам.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1.2.3.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Подрядчик обеспечивает содержание и уборку строительной площадки и прилегающей к ней территории.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1.2.4.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Подрядчик должен быть обеспечен необходимыми инструментами, механизмами и средствами индивидуальной защиты согласно характеру работ указанных в Таблице № 2.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1.2.5.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Подрядчик обеспечивает определение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1.2.6.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Подрядчик должен обеспечить подготовку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объекта;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При выполнении работ необходимо применять материалы российского и/или зарубежного производства, сертифицированных для применения на территории РФ. Все применяемые материалы должны быть новыми, соответствовать ГОСТ и другим нормативным документам.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Все поставляемые и/или применяемые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т. п. должны быть предоставлены Заказчику до момента начала производства работ, выполняемых с использованием соответствующих материалов и оборудования. Подрядчик несет ответственность за соответствие используемых материалов государственным стандартам, техническим условиям и иным предъявляемым требованиям.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1.3.3.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Запрещается применение бывших в использовании и употреблении материалов, в том числе восстановленных и отремонтированных.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1.3.4.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 с заполнением в журнале входного контроля согласно 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СП 48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13330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2019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  <w:t>"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СНиП 12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01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2004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 Организация строительства"</w:t>
            </w: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, включающий в себя проверку:</w:t>
            </w:r>
          </w:p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- наличия соответствующих сертификатов соответствия на материалы;</w:t>
            </w:r>
          </w:p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- 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- комплектности поставляемых материалов;</w:t>
            </w:r>
          </w:p>
          <w:p>
            <w:pPr>
              <w:pStyle w:val="Normal"/>
              <w:widowControl w:val="false"/>
              <w:spacing w:before="0" w:after="6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- и т.п.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1.3.5.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Перечень давальческих материалов, предоставляемые Заказчиком для выполнения работ указаны в соответствии с Приложением № 4 к ТТ (Приложение № 7 к Договору)</w:t>
            </w: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Работы должны выполняться в соответствии с  нормативной документацией, и Подрядчик должен руководствоваться соответствующими документами по характеру работ.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60"/>
              <w:jc w:val="left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 xml:space="preserve"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регламентов, соблюдением норм и правил складирования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технических регламентов, действующих на территории Российской Федерации и </w:t>
            </w: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соответствовать требованиям, предъявляемым к работам соответствующего рода.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70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</w:tc>
        <w:tc>
          <w:tcPr>
            <w:tcW w:w="382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bCs/>
                <w:i/>
                <w:i/>
                <w:iCs/>
              </w:rPr>
            </w:pPr>
            <w:r>
              <w:rPr>
                <w:rFonts w:eastAsia="Tahoma" w:cs="Lohit Devanagari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Допуск персонала подрядчика для выполнения работ должен осуществляться в соответствии с «Регламентом допуска подрядных организаций и командированного персонала на объекты АО «Сахаэнерго» ИСМ РГ-00-017.03-23 (Приложение №1 к Техническим требованиям).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bCs/>
                <w:i/>
                <w:i/>
                <w:iCs/>
              </w:rPr>
            </w:pPr>
            <w:r>
              <w:rPr>
                <w:rFonts w:eastAsia="Tahoma" w:cs="Lohit Devanagari"/>
                <w:b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Подготовку рабочих мест и первичный допуск к работам выполняет персонал Заказчика.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Организация и выполнение ремонтных работ должна проводится в соответствии с требованиями: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Строительные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нормы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и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правила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СНиП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12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03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2001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"Безопасность труда в строительстве. Часть 1. Общие требования"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Строительные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нормы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и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правила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РФ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СНиП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12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04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2002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"Безопасность труда в строительстве. Часть 2. Строительное производство"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right="128" w:hanging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Инструкция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 мерах пожарной безопасности при проведении огневых работ на энергетических предприятиях СО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153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34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03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305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2003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(утв. </w:t>
            </w:r>
            <w:r>
              <w:fldChar w:fldCharType="begin"/>
            </w:r>
            <w:r>
              <w:rPr>
                <w:rStyle w:val="Hyperlink"/>
                <w:sz w:val="24"/>
                <w:kern w:val="0"/>
                <w:shd w:fill="FFFFFF" w:val="clear"/>
                <w:szCs w:val="24"/>
                <w:rFonts w:eastAsia="Tahoma" w:cs="Lohit Devanagari"/>
                <w:color w:val="3272C0"/>
                <w:lang w:val="ru-RU" w:eastAsia="ru-RU" w:bidi="ar-SA"/>
              </w:rPr>
              <w:instrText xml:space="preserve"> HYPERLINK "https://internet.garant.ru/" \l "/document/190963/entry/0"</w:instrText>
            </w:r>
            <w:r>
              <w:rPr>
                <w:rStyle w:val="Hyperlink"/>
                <w:sz w:val="24"/>
                <w:kern w:val="0"/>
                <w:shd w:fill="FFFFFF" w:val="clear"/>
                <w:szCs w:val="24"/>
                <w:rFonts w:eastAsia="Tahoma" w:cs="Lohit Devanagari"/>
                <w:color w:val="3272C0"/>
                <w:lang w:val="ru-RU" w:eastAsia="ru-RU" w:bidi="ar-SA"/>
              </w:rPr>
              <w:fldChar w:fldCharType="separate"/>
            </w:r>
            <w:r>
              <w:rPr>
                <w:rStyle w:val="Hyperlink"/>
                <w:rFonts w:eastAsia="Tahoma" w:cs="Lohit Devanagari"/>
                <w:color w:val="3272C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приказом</w:t>
            </w:r>
            <w:r>
              <w:rPr>
                <w:rStyle w:val="Hyperlink"/>
                <w:sz w:val="24"/>
                <w:kern w:val="0"/>
                <w:shd w:fill="FFFFFF" w:val="clear"/>
                <w:szCs w:val="24"/>
                <w:rFonts w:eastAsia="Tahoma" w:cs="Lohit Devanagari"/>
                <w:color w:val="3272C0"/>
                <w:lang w:val="ru-RU" w:eastAsia="ru-RU" w:bidi="ar-SA"/>
              </w:rPr>
              <w:fldChar w:fldCharType="end"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 Минэнерго РФ от 30 июня 2003 г. N 263);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right="128" w:hanging="0"/>
              <w:jc w:val="both"/>
              <w:rPr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Приказ Министерства труда и социальной защиты РФ от 16 ноября 2020 г. N 782н об утверждении Правил по охране труда при работе на высоте"</w:t>
            </w: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 xml:space="preserve"> 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right="128" w:hanging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Правила организации технического обслуживания и ремонта оборудования, зданий и сооружений электростанций и сетей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 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34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04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181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Style w:val="Emphasis"/>
                <w:rFonts w:eastAsia="Tahoma" w:cs="Lohit Devanagari"/>
                <w:i w:val="false"/>
                <w:iCs w:val="false"/>
                <w:color w:val="22272F"/>
                <w:kern w:val="0"/>
                <w:sz w:val="24"/>
                <w:szCs w:val="24"/>
                <w:lang w:val="ru-RU" w:eastAsia="ru-RU" w:bidi="ar-SA"/>
              </w:rPr>
              <w:t>2003</w:t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eastAsia="Tahoma" w:cs="Lohit Devanagari"/>
                <w:color w:val="22272F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(утв. РАО "ЕЭС России" 25 декабря 2003 г.)</w:t>
            </w:r>
            <w:r>
              <w:rPr>
                <w:rFonts w:eastAsia="Arial Unicode MS" w:cs="Lohit Devanagari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right="128" w:hanging="0"/>
              <w:jc w:val="both"/>
              <w:rPr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Приказ Министерства труда и социальной защиты РФ от 15 декабря 2020 г. N 902н "Об утверждении Правил по охране труда при работе в ограниченных и замкнутых пространствах".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hanging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>Приказ Федеральной службы по экологическому, технологическому и атомному надзору от 15 декабря 2020 г. N 529 "Об утверждении федеральных норм и правил в области промышленной безопасности "Правила промышленной безопасности складов нефти и нефтепродуктов"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</w:tabs>
              <w:spacing w:before="0" w:after="0"/>
              <w:ind w:left="0" w:hanging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>Приказ Федеральной службы по экологическому, технологическому и атомному надзору от 15 декабря 2020 г. N 528 "Об утверждении федеральных норм и правил в области промышленной безопасности "Правила безопасного ведения газоопасных, огневых и ремонтных работ"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  <w:tab w:val="left" w:pos="915" w:leader="none"/>
              </w:tabs>
              <w:spacing w:before="0" w:after="0"/>
              <w:ind w:left="0" w:hanging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>Приказ Федеральной службы по экологическому, технологическому и атомному надзору от 1 декабря 2020 г. N 478 "Об утверждении федеральных норм и правил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  <w:tab w:val="left" w:pos="915" w:leader="none"/>
              </w:tabs>
              <w:spacing w:before="0" w:after="0"/>
              <w:ind w:left="0" w:firstLine="34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>Приказ Федеральной службы по экологическому, технологическому и атомному надзору от 11 декабря 2020 г. N 519 "Об утверждении Федеральных норм и правил в области промышленной безопасности "Требования к производству сварочных работ на опасных производственных объектах"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  <w:tab w:val="left" w:pos="915" w:leader="none"/>
              </w:tabs>
              <w:spacing w:before="0" w:after="0"/>
              <w:ind w:left="0" w:hanging="0"/>
              <w:jc w:val="both"/>
              <w:rPr>
                <w:rFonts w:eastAsia="Arial Unicode MS"/>
                <w:sz w:val="24"/>
              </w:rPr>
            </w:pPr>
            <w:r>
              <w:rPr>
                <w:rFonts w:eastAsia="Arial Unicode MS" w:cs="Lohit Devanagari"/>
                <w:kern w:val="0"/>
                <w:sz w:val="24"/>
                <w:lang w:val="ru-RU" w:eastAsia="ru-RU" w:bidi="ar-SA"/>
              </w:rPr>
              <w:t>Постановление Федерального горного и промышленного надзора России от 25 июня 2002 г. N 36 "Об утверждении новой редакции "Технологического регламента проведения аттестации сварщиков и специалистов сварочного производства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302" w:leader="none"/>
                <w:tab w:val="left" w:pos="915" w:leader="none"/>
              </w:tabs>
              <w:spacing w:before="0" w:after="0"/>
              <w:ind w:left="0" w:hanging="0"/>
              <w:jc w:val="both"/>
              <w:rPr>
                <w:rFonts w:eastAsia="Arial Unicode MS"/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Иными нормативными документами по соответствующему характеру работ.</w:t>
            </w:r>
          </w:p>
          <w:p>
            <w:pPr>
              <w:pStyle w:val="Normal"/>
              <w:widowControl w:val="false"/>
              <w:spacing w:lineRule="atLeast" w:line="100" w:before="0" w:after="0"/>
              <w:ind w:firstLine="16"/>
              <w:jc w:val="both"/>
              <w:rPr>
                <w:rFonts w:eastAsia="Lucida Sans Unicode"/>
                <w:sz w:val="24"/>
                <w:lang w:eastAsia="hi-IN" w:bidi="hi-IN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При выполнении Работ Подрядчику необходимо: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обеспечить безопасность, собственного персонала,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своевременно оповещать представителей Заказчика и технического надзора о проведении освидетельствования скрытых работ и ответственных конструкций.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Результат работ должен соответствовать перечню и объемам выполняемых работ (таблица №2) настоящих технических требований и восстановленной проектной документации.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lineRule="atLeast" w:line="100" w:before="0" w:after="0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  <w:p>
            <w:pPr>
              <w:pStyle w:val="Normal"/>
              <w:widowControl w:val="false"/>
              <w:spacing w:lineRule="atLeast" w:line="100" w:before="0" w:after="0"/>
              <w:ind w:firstLine="5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работ и ответственного за персонал Подрядчика, и технику безопасности при проведении работ.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ind w:firstLine="12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Гарантийный срок на выполненные работы: не менее 24 месяцев.</w:t>
            </w:r>
          </w:p>
        </w:tc>
        <w:tc>
          <w:tcPr>
            <w:tcW w:w="1862" w:type="dxa"/>
            <w:tcBorders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ind w:firstLine="12"/>
              <w:jc w:val="left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rFonts w:eastAsia="Tahoma" w:cs="Lohit Devanagari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разумный срок.</w:t>
            </w:r>
          </w:p>
        </w:tc>
        <w:tc>
          <w:tcPr>
            <w:tcW w:w="1862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>
              <w:top w:val="nil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ahoma" w:cs="Lohit Devanagari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В целях приемки работ Подрядчик не менее чем за семь рабочих дней до даты приемки, направляет Заказчику письменное извещение об окончании работ и готовности к сдаче результатов работ. При этом совместно с извещением направляет (предоставляет) Заказчику: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0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1. Акты приемки выполненных работ по форме КС-2;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2. Справки о стоимости выполненных работ по форме КС-3;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3. Общий журнал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4. Специальные журналы (сварочных, бетонных, антикоррозионных и т.д., согласно условиям и видам работ предусмотренных по Договору);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0" w:leader="none"/>
                <w:tab w:val="left" w:pos="300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5. Акты приема передачи основных средств по форме ОС-3 (Форма Акта ОС-3 предоставляется Заказчиком по запросу Подрядчика);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</w:tabs>
              <w:spacing w:before="0" w:after="0"/>
              <w:ind w:left="50" w:hanging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6. Исполнительную документацию (заверенную подписью и печатью Подрядчика):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акты освидетельствования скрытых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паспорта, сертификаты соответствия на смонтированное оборудование и примененные материалы;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акты испытаний (акты гидравлических и/или пневмотических испытаний, акты промывки и продувки трубопровода);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акты зачистки резервуаров (если таковы работы предусмотрены Договором);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накладные или счета-фактуры на материалы и оборудование (при необходимости);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э</w:t>
            </w: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en-US" w:bidi="hi-IN"/>
              </w:rPr>
              <w:t>ксплуатационная документация, сертификаты, технические условия, протоколы, инструкции, паспорта;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en-US" w:bidi="hi-IN"/>
              </w:rPr>
              <w:t>- документы, удостоверяющие качество используемых Подрядчиком Материально-технических ресурсов;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en-US" w:bidi="hi-IN"/>
              </w:rPr>
              <w:t>- пофамильные списки персонала, задействованного при производстве Работ, а также копии всех документов, подтверждающих его квалификацию, а также,</w:t>
            </w: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 xml:space="preserve"> документы, подтверждающие аттестацию сварщиков и специалистов сварочного производства;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" w:leader="none"/>
                <w:tab w:val="left" w:pos="884" w:leader="none"/>
              </w:tabs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en-US" w:bidi="hi-IN"/>
              </w:rPr>
              <w:t>- фото/видео -материалы выполнения работ (при необходимости по запросу Заказчика);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Lucida Sans Unicode" w:cs="Lohit Devanagari"/>
                <w:kern w:val="0"/>
                <w:sz w:val="24"/>
                <w:szCs w:val="24"/>
                <w:lang w:val="ru-RU" w:eastAsia="hi-IN" w:bidi="hi-IN"/>
              </w:rPr>
              <w:t>- и т. д. (согласно условиям и видам работ предусмотренных по Договору)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 w:cs="Lohit Devanagari"/>
                <w:b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2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37" w:hanging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Lohit Devanagari"/>
                <w:kern w:val="0"/>
                <w:sz w:val="24"/>
                <w:szCs w:val="24"/>
                <w:lang w:val="ru-RU" w:eastAsia="ru-RU" w:bidi="ar-SA"/>
              </w:rPr>
              <w:t>3.1.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Гарантийный срок на выполненные работы: не менее 24 месяцев.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 xml:space="preserve">устраняет их за свой счет в согласованные сторонами сроки и компенсирует Заказчику понесенные при этом убытки </w:t>
            </w:r>
            <w:r>
              <w:rPr>
                <w:rFonts w:eastAsia="Tahoma" w:cs="Lohit Devanagari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разумный срок.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37" w:hanging="0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 w:cs="Lohit Devanagari"/>
                <w:b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keepNext w:val="true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37" w:hanging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Lohit Devanagari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7521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Требования и обязательства: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о том, что подрядчик (субподрядчики), помимо места производства работ, будет обязан принять, например, место (помещение) для складирования материально-технических ресурсов и оборудования;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требования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требования к процедурам взаимодействия с Заказчиком;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eastAsia="Calibri" w:eastAsiaTheme="minorHAnsi"/>
                <w:sz w:val="24"/>
                <w:szCs w:val="24"/>
              </w:rPr>
            </w:pPr>
            <w:r>
              <w:rPr>
                <w:rFonts w:eastAsia="Calibri" w:cs="Lohit Devanagari" w:eastAsiaTheme="minorHAnsi"/>
                <w:kern w:val="0"/>
                <w:sz w:val="24"/>
                <w:szCs w:val="24"/>
                <w:lang w:val="ru-RU" w:eastAsia="ru-RU" w:bidi="ar-SA"/>
              </w:rPr>
              <w:t>- требования в отношении режима прохода на территорию заказчика и правила поведения на ней;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Calibri" w:cs="Lohit Devanagari" w:eastAsiaTheme="minorHAnsi"/>
                <w:kern w:val="0"/>
                <w:sz w:val="24"/>
                <w:szCs w:val="24"/>
                <w:lang w:val="ru-RU" w:eastAsia="ru-RU" w:bidi="ar-SA"/>
              </w:rPr>
              <w:t>- иные требования к подрядчику и его обязательствам, влияющим на исполнение договора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;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- требования в отношении страхования (оборудования заказчика, передаваемого подрядчику в монтаж, если это предусмотрено проектом договора)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ind w:left="37" w:hanging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cs="Lohit Devanagari"/>
                <w:kern w:val="0"/>
                <w:sz w:val="24"/>
                <w:szCs w:val="24"/>
                <w:lang w:val="ru-RU" w:eastAsia="ru-RU" w:bidi="ar-SA"/>
              </w:rPr>
              <w:t>4.2.</w:t>
            </w:r>
          </w:p>
        </w:tc>
        <w:tc>
          <w:tcPr>
            <w:tcW w:w="3331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90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iCs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lang w:val="ru-RU" w:eastAsia="ru-RU" w:bidi="ar-SA"/>
              </w:rPr>
              <w:t>5.</w:t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5.1.</w:t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При выполнении работ необходимо выполнять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5.2.</w:t>
            </w:r>
          </w:p>
        </w:tc>
        <w:tc>
          <w:tcPr>
            <w:tcW w:w="3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Экологические требования по охране окружающей среды</w:t>
            </w:r>
          </w:p>
        </w:tc>
        <w:tc>
          <w:tcPr>
            <w:tcW w:w="3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5.3.</w:t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Lohit Devanagari"/>
                <w:kern w:val="0"/>
                <w:lang w:val="ru-RU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Согласно п. 2.1.3 Договора подряда, п</w:t>
            </w:r>
            <w:r>
              <w:rPr>
                <w:rFonts w:eastAsia="Tahoma" w:cs="Lohit Devanagari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видам работ, предусмотренных</w:t>
            </w:r>
            <w:r>
              <w:rPr>
                <w:rFonts w:eastAsia="Lucida Sans Unicode" w:cs="Lohit Devanagari"/>
                <w:color w:val="000000"/>
                <w:kern w:val="0"/>
                <w:sz w:val="24"/>
                <w:szCs w:val="24"/>
                <w:lang w:val="ru-RU" w:eastAsia="hi-IN" w:bidi="hi-IN"/>
              </w:rPr>
              <w:t xml:space="preserve"> по Договору</w:t>
            </w:r>
            <w:r>
              <w:rPr>
                <w:rFonts w:eastAsia="Tahoma" w:cs="Lohit Devanagari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Заказчиком ресурсов и услуг, указанных в Технических требованиях (Приложение № 1 к Договору), осуществляется без дополнительной оплаты в соответствии с Порядком предоставления ресурсов и оказания Заказчиком услуг, необходимых для исполнения Подрядчиком обязательств по Договору (Приложение № 10 к Договору). Предоставленные Заказчиком ресурсы и услуги используются Подрядчиком в целях исполнения обязательств по Договору.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eastAsia="Tahoma" w:cs="Lohit Devanagari"/>
                <w:kern w:val="0"/>
                <w:lang w:eastAsia="ru-RU" w:bidi="ar-SA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rPr/>
        <w:tc>
          <w:tcPr>
            <w:tcW w:w="817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</w:rPr>
            </w:pPr>
            <w:r>
              <w:rPr>
                <w:rFonts w:eastAsia="Tahoma" w:cs="Lohit Devanagari"/>
                <w:kern w:val="0"/>
                <w:sz w:val="24"/>
                <w:lang w:val="ru-RU" w:eastAsia="ru-RU" w:bidi="ar-SA"/>
              </w:rPr>
              <w:t>5.4.</w:t>
            </w:r>
          </w:p>
        </w:tc>
        <w:tc>
          <w:tcPr>
            <w:tcW w:w="752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Передача помещений осуществляется на основании акта сдачи-приемки по форме, согласованной Сторонами.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 xml:space="preserve">Заказчик несет расходы по капитальному и текущему ремонту предоставленных в пользование </w:t>
            </w:r>
            <w:r>
              <w:rPr>
                <w:rFonts w:eastAsia="Tahoma" w:cs="Lohit Devanagari"/>
                <w:bCs/>
                <w:kern w:val="0"/>
                <w:sz w:val="24"/>
                <w:szCs w:val="24"/>
                <w:lang w:val="ru-RU" w:eastAsia="ru-RU" w:bidi="ar-SA"/>
              </w:rPr>
              <w:t>помещений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 xml:space="preserve">. Подрядчик </w:t>
            </w:r>
            <w:r>
              <w:rPr>
                <w:rFonts w:eastAsia="Tahoma" w:cs="Lohit Devanagari"/>
                <w:bCs/>
                <w:kern w:val="0"/>
                <w:sz w:val="24"/>
                <w:szCs w:val="24"/>
                <w:lang w:val="ru-RU" w:eastAsia="ru-RU" w:bidi="ar-SA"/>
              </w:rPr>
      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186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Согласие</w:t>
            </w:r>
            <w:r>
              <w:rPr>
                <w:rFonts w:eastAsia="Tahoma" w:cs="Lohit Devanagari"/>
                <w:kern w:val="0"/>
                <w:sz w:val="24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ahoma" w:cs="Lohit Devanagari"/>
                <w:kern w:val="0"/>
                <w:sz w:val="24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246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ind w:left="0" w:hanging="0"/>
              <w:jc w:val="left"/>
              <w:outlineLvl w:val="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</w:tbl>
    <w:p>
      <w:pPr>
        <w:pStyle w:val="Heading1"/>
        <w:numPr>
          <w:ilvl w:val="1"/>
          <w:numId w:val="3"/>
        </w:numPr>
        <w:rPr>
          <w:rFonts w:eastAsia="Times New Roman"/>
          <w:color w:val="000000"/>
        </w:rPr>
      </w:pPr>
      <w:bookmarkStart w:id="24" w:name="_Toc16"/>
      <w:r>
        <w:rPr>
          <w:rFonts w:eastAsia="Times New Roman"/>
          <w:color w:val="000000"/>
        </w:rPr>
        <w:t>Требования к качеству услуг</w:t>
      </w:r>
      <w:bookmarkEnd w:id="24"/>
    </w:p>
    <w:p>
      <w:pPr>
        <w:pStyle w:val="Heading1"/>
        <w:tabs>
          <w:tab w:val="clear" w:pos="0"/>
        </w:tabs>
        <w:spacing w:lineRule="atLeast" w:line="280" w:before="227" w:after="113"/>
        <w:ind w:left="0" w:hanging="0"/>
        <w:rPr/>
      </w:pPr>
      <w:bookmarkStart w:id="25" w:name="_Toc17"/>
      <w:r>
        <w:rPr>
          <w:rFonts w:eastAsia="Times New Roman"/>
          <w:color w:val="000000"/>
          <w:sz w:val="24"/>
        </w:rPr>
        <w:t xml:space="preserve">Таблица 6. Требования к качеству услуг </w:t>
      </w:r>
      <w:bookmarkEnd w:id="25"/>
    </w:p>
    <w:p>
      <w:pPr>
        <w:pStyle w:val="Normal"/>
        <w:spacing w:lineRule="atLeast" w:line="280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 xml:space="preserve">Наименование услуг (Таблица 2. Перечень и объем выполняемых работ): </w:t>
      </w:r>
    </w:p>
    <w:p>
      <w:pPr>
        <w:pStyle w:val="Normal"/>
        <w:spacing w:lineRule="atLeast" w:line="280"/>
        <w:jc w:val="both"/>
        <w:rPr/>
      </w:pPr>
      <w:r>
        <w:rPr/>
      </w:r>
    </w:p>
    <w:tbl>
      <w:tblPr>
        <w:tblStyle w:val="affffc"/>
        <w:tblW w:w="15415" w:type="dxa"/>
        <w:jc w:val="left"/>
        <w:tblInd w:w="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039"/>
        <w:gridCol w:w="6431"/>
        <w:gridCol w:w="1842"/>
        <w:gridCol w:w="2408"/>
        <w:gridCol w:w="2695"/>
      </w:tblGrid>
      <w:tr>
        <w:trPr/>
        <w:tc>
          <w:tcPr>
            <w:tcW w:w="2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Calibri" w:cs="Calibri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№ </w:t>
            </w: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rHeight w:val="892" w:hRule="atLeast"/>
        </w:trPr>
        <w:tc>
          <w:tcPr>
            <w:tcW w:w="203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431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9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pacing w:before="0" w:after="0"/>
              <w:contextualSpacing/>
              <w:jc w:val="left"/>
              <w:rPr>
                <w:b/>
                <w:vanish/>
              </w:rPr>
            </w:pPr>
            <w:r>
              <w:rPr>
                <w:b/>
                <w:vanish/>
              </w:rPr>
            </w:r>
          </w:p>
          <w:p>
            <w:pPr>
              <w:pStyle w:val="ListParagraph"/>
              <w:widowControl w:val="false"/>
              <w:numPr>
                <w:ilvl w:val="1"/>
                <w:numId w:val="11"/>
              </w:numPr>
              <w:spacing w:before="0" w:after="0"/>
              <w:contextualSpacing/>
              <w:jc w:val="left"/>
              <w:rPr>
                <w:b/>
                <w:vanish/>
              </w:rPr>
            </w:pPr>
            <w:r>
              <w:rPr>
                <w:b/>
                <w:vanish/>
              </w:rPr>
            </w:r>
          </w:p>
          <w:p>
            <w:pPr>
              <w:pStyle w:val="ListParagraph"/>
              <w:widowControl w:val="false"/>
              <w:numPr>
                <w:ilvl w:val="1"/>
                <w:numId w:val="11"/>
              </w:numPr>
              <w:spacing w:before="0" w:after="0"/>
              <w:contextualSpacing/>
              <w:jc w:val="left"/>
              <w:rPr>
                <w:b/>
                <w:vanish/>
              </w:rPr>
            </w:pPr>
            <w:r>
              <w:rPr>
                <w:b/>
                <w:vanish/>
              </w:rPr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spacing w:before="0" w:after="0"/>
              <w:contextualSpacing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62" w:after="0"/>
              <w:jc w:val="left"/>
              <w:rPr>
                <w:color w:val="000000"/>
                <w:sz w:val="24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Общие требования к оказанию услуг по экспертизе промышленной безопасности резервуаров ОПО склада ГСМ ДЭС п. Нижнеянск Янских ЭС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62" w:after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0"/>
              </w:numPr>
              <w:spacing w:before="0" w:after="0"/>
              <w:contextualSpacing/>
              <w:jc w:val="left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ListParagraph"/>
              <w:widowControl w:val="false"/>
              <w:numPr>
                <w:ilvl w:val="1"/>
                <w:numId w:val="10"/>
              </w:numPr>
              <w:spacing w:before="0" w:after="0"/>
              <w:contextualSpacing/>
              <w:jc w:val="left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FFFFFF" w:fill="FFFFFF"/>
              <w:spacing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Настоящие ТТ устанавливают объем, состав и содержание услуг по ЭПБ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1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Исполнитель, оказывая услуги, руководствуется следующими нормативными документами: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ФЗ "О промышленной безопасности опасных производственных объектов" от 21.07.1997 № 116-ФЗ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-Приказ Федеральной службы по экологическому, технологическому и атомному надзору от 15 декабря 2020 г. N 529 "Об утверждении федеральных норм и правил в области промышленной безопасности "Правила промышленной безопасности складов нефти и нефтепродуктов";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ПП РФ от 16.09.2020 N1477 "О лицензировании деятельности по проведению экспертизы промышленной безопасности" (вместе с "Положением о лицензировании деятельности по проведению экспертизы промышленной безопасности")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Приказ Ростехнадзора от 20.10.2020 N420 "Об утверждении федеральных норм и правил в области промышленной безопасности "Правила проведения экспертизы промышленной безопасности"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ФЗ от 27.12.2002 N 184-ФЗ "О техническом регулировании"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Правила техники безопасности при эксплуатации тепломеханического оборудования электростанций и тепловых сетей. РД 34.03.201-97 (издание с дополнениями и изменениями по состоянию на 03.04.2000 г.);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Правила по охране труда при эксплуатации электроустановок, приказ Министерства труда и социальной защиты РФ №903н от 15.12.2020 «Об утверждении Правил по охране труда при эксплуатации электроустановок»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lang w:val="ru-RU" w:eastAsia="ru-RU" w:bidi="ar-SA"/>
              </w:rPr>
              <w:t xml:space="preserve">- </w:t>
            </w: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Приказ Министерства труда и социальной защиты Российской Федерации от 16.11.2020г. N 782н «Об утверждении правил по охране труда при работе на высоте» (в действующей редакции).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ПП РФ от 02.06.2022 N 1009 "Об аттестации экспертов в области промышленной безопасности" (вместе с "Положением об аттестации экспертов в области промышленной безопасности") (в действующей редакции);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Приказ Федеральной службы по экологическому, технологическому и атомному надзору от 1 декабря 2020г. N478 «Федеральные нормы и правила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объектах"»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Решение Комиссии Таможенного союза от 18.10.2011 N 824 "О принятии технического регламента Таможенного союза "О безопасности машин и оборудования" (вместе с "ТР ТС 010/2011. Технический регламент Таможенного союза. О безопасности машин и оборудования").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ГОСТ Р 55724-2013 Контроль неразрушающий. Соединения сварные. Методы ультразвуковые.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ГОСТ 18442-80 Контроль неразрушающий. Капиллярные методы. Общие требования.</w:t>
            </w:r>
          </w:p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 РД 13-06-2006 Методические рекомендации о порядке проведения капиллярного контроля технических устройств и сооружений, применяемых и эксплуатируемых на опасных производственных объектах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способам оказания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оказывает услуги по ТО (Д), ЭПБ, указанные в таблице №3, №4 настоящих ТТ, в полном объеме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оказывает услуги по ТО (Д), ЭПБ, указанные в таблице 2 настоящих ТТ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проводит ЭПБ с выездом на объект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процедурам оказания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заблаговременно направляет в адрес Заказчика письмо с предоставлением копий документов, согласно Приложению №1 ИСМ РГ-00-017.03-23 «Регламент допуска подрядных организаций и командированного персонала на объекты «АО «Сахаэнерго»»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осуществляет выезд в Филиал Заказчика после получения акта готовности объекта к проведению ТО (Д) ЭПБ и положительного заключения о допуске на объект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По прибытию в Филиал Заказчика, Исполнитель проходит инструктаж в административном здании Филиала Заказчика и получает допуск на объекты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Решение о выдаче положительного или отрицательного заключения ЭПБ принимается на основании рассмотрения и анализа документов, полученных при экспертизе, проверке состояния объекта и проведения необходимых испытаний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В случае принятия решения о выдаче отрицательного заключения ЭПБ Заказчик вправе представить материалы на повторную экспертизу при условии их переработки с учетом выявленных в ходе экспертизы замечаний.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Недостатки услуг, предъявленные Заказчиком, Исполнитель устраняет в течение 15 дней с момента их получения Исполнителем.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Если в процессе регистрации заключений ЭПБ в ЛУ РТН будут установлены необъективность или некачественное выполнение услуги, Исполнитель устраняет выявленные замечания без дополнительной оплаты.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Заказчик имеет право контролировать ход и качество выполняемых работ в течение всего времени выполнения работ.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Аттестованная лаборатория неразрушающего контроля (п.9. приказа Федеральной службы по экологическому, технологическому и атомному надзору от 1 декабря 2020г. N478 «Федеральные нормы и правила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объектах"»);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FFFFFF" w:fill="FFFFFF"/>
              <w:spacing w:lineRule="atLeast" w:line="280" w:before="62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Наличие в штате Исполнителя экспертов, аттестованных в порядке, установленном постановлением Правительства Российской Федерации от 28 мая 2015 года N 509 "Об аттестации экспертов в области промышленной безопасности", входящих в реестре Ростехнадзора аттестованных экспертов в области промышленной безопасности, согласно пункту 10 приказа Ростехнадзора от 19.08.2015 года №326 «Об утверждении Требований к формированию и ведению реестра экспертов в области промышленной безопасности». (п.20. Федеральных норм и правил в области промышленной безопасности "Правила проведения экспертизы промышленной безопасности", утв. Приказом Ростехнадзора №420 от 20.10.2020г., п. 12 Приказа Федеральной службы по экологическому, технологическому и атомному надзору от 9 сентября 2015 г. N 355 "Об утверждении перечня областей аттестации экспертов в области промышленной безопасности")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FFFFFF" w:fill="FFFFFF"/>
              <w:spacing w:lineRule="atLeast" w:line="280" w:before="62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Наличие в штате Исполнителя обученных и аттестованных специалистов в области неразрушающего контроля (п.8., п. 9. приказа Федеральной службы по экологическому, технологическому и атомному надзору от 1 декабря 2020г. N478 «Федеральные нормы и правила в области промышленной безопасности "Основные требования к проведению неразрушающего контроля технических устройств, зданий и сооружений на опасных производственных объектах"»)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FFFFFF" w:fill="FFFFFF"/>
              <w:spacing w:lineRule="atLeast" w:line="280" w:before="62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</w:t>
            </w:r>
            <w:r>
              <w:rPr>
                <w:rFonts w:eastAsia="Tahoma" w:cs="Lohit Devanagari"/>
                <w:color w:val="000000"/>
                <w:spacing w:val="2"/>
                <w:kern w:val="0"/>
                <w:sz w:val="24"/>
                <w:lang w:val="ru-RU" w:eastAsia="ru-RU" w:bidi="ar-SA"/>
              </w:rPr>
              <w:t>обязан обеспечить свой персонал необходимыми средствами индивидуальной защиты (каска, очки, беруши (наушники)), спецодеждой и спецобувью в соответствии с типовыми отраслевыми нормами.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результатам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Общие требования к результатам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b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Результат работ должен соответствовать настоящим ТТ и условиям Договора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приемке результата оказания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до подписания направляет в адрес Заказчика проект заключения ЭПБ на рассмотрение и согласование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Передача Заказчику оформленных в установленном порядке экспертных заключений и другой документации, осуществляется Исполнителем по акту в количестве двух экземпляров на бумажном носителе и в одном экземпляре - на электронном носителе (имеющих подписи и согласования, документы предоставляются файлами, получаемыми путем сканирования бумажного оригинала в формате Acrobat Reader (PDF), при этом размер тома не должен превышать 50 (Мб) на каждый объект экспертизы.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Оформляется заключение ЭПБ, в соответствии с требованиями Правил проведения экспертизы промышленной безопансости, утв. Приказом Ростехнадзора от 20.10.2020 г. № 420, и подписывается руководителем организации, проводившей экспертизу и экспертами в области промышленной безопасности, участвовавшими в проведении экспертизы, заверяется печатью экспертной организации и прошивается с указанием количества листов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В заключении отражается возможность продления срока безопасной эксплуатации и, при необходимости, план корректирующих мероприятий на продлеваемый период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23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both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несет ответственность за качество оказания услуг в соответствии с нормативными правовыми, нормативно-техническими документами Ростехнадзора, ПТБ, ПОТ, ППБ и ПТЭ электрических станций и сетей.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Исполнитель несет ответственность за достоверность и объективность предоставленной документации.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280" w:before="62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center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b/>
                <w:color w:val="000000"/>
                <w:kern w:val="0"/>
                <w:sz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В соответствии с Приложением №1 ИСМ РГ-00-017.03-23 «Регламент допуска подрядных организаций и командированного персонала на объекты «АО «Сахаэнерго»»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Наличие необходимой для проведения работ нормативно-технической, приборной и инструментальной базы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20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2"/>
              </w:numPr>
              <w:spacing w:before="0" w:after="0"/>
              <w:contextualSpacing/>
              <w:jc w:val="left"/>
              <w:rPr>
                <w:rFonts w:ascii="Times New Roman" w:hAnsi="Times New Roman" w:cs="Lohit Devanagari"/>
                <w:kern w:val="0"/>
                <w:lang w:val="ru-RU" w:eastAsia="ru-RU" w:bidi="ar-SA"/>
              </w:rPr>
            </w:pPr>
            <w:r>
              <w:rPr>
                <w:rFonts w:cs="Lohit Devanagari"/>
                <w:kern w:val="0"/>
                <w:lang w:val="ru-RU" w:eastAsia="ru-RU" w:bidi="ar-SA"/>
              </w:rPr>
            </w:r>
          </w:p>
        </w:tc>
        <w:tc>
          <w:tcPr>
            <w:tcW w:w="64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Наличие свидетельства об аккредитации экспертной организации в области промышленной безопасности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80" w:before="0" w:after="0"/>
              <w:jc w:val="left"/>
              <w:rPr>
                <w:rFonts w:ascii="Times New Roman" w:hAnsi="Times New Roman" w:eastAsia="Tahoma" w:cs="Lohit Devanagari"/>
                <w:kern w:val="0"/>
                <w:lang w:val="ru-RU" w:eastAsia="ru-RU" w:bidi="ar-SA"/>
              </w:rPr>
            </w:pPr>
            <w:r>
              <w:rPr>
                <w:rFonts w:eastAsia="Tahoma" w:cs="Lohit Devanagari"/>
                <w:color w:val="000000"/>
                <w:kern w:val="0"/>
                <w:sz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4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  <w:tc>
          <w:tcPr>
            <w:tcW w:w="26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tLeast" w:line="240"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rFonts w:eastAsia="Calibri" w:cs="Calibri" w:ascii="Calibri" w:hAnsi="Calibri"/>
                <w:b/>
                <w:color w:val="000000"/>
                <w:kern w:val="0"/>
                <w:sz w:val="20"/>
                <w:lang w:val="ru-RU" w:eastAsia="ru-RU" w:bidi="ar-SA"/>
              </w:rPr>
              <w:t>-</w:t>
            </w:r>
          </w:p>
        </w:tc>
      </w:tr>
    </w:tbl>
    <w:p>
      <w:pPr>
        <w:sectPr>
          <w:headerReference w:type="default" r:id="rId6"/>
          <w:headerReference w:type="first" r:id="rId7"/>
          <w:footerReference w:type="default" r:id="rId8"/>
          <w:footerReference w:type="first" r:id="rId9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ListParagraph"/>
        <w:numPr>
          <w:ilvl w:val="0"/>
          <w:numId w:val="0"/>
        </w:numPr>
        <w:ind w:left="0" w:hanging="0"/>
        <w:jc w:val="center"/>
        <w:outlineLvl w:val="0"/>
        <w:rPr>
          <w:b/>
          <w:sz w:val="28"/>
          <w:szCs w:val="28"/>
        </w:rPr>
      </w:pPr>
      <w:bookmarkStart w:id="26" w:name="_Toc18"/>
      <w:r>
        <w:rPr>
          <w:b/>
          <w:sz w:val="28"/>
          <w:szCs w:val="28"/>
        </w:rPr>
        <w:t>3. Требования к Участнику закупки</w:t>
      </w:r>
      <w:bookmarkEnd w:id="26"/>
    </w:p>
    <w:p>
      <w:pPr>
        <w:pStyle w:val="ListParagraph"/>
        <w:ind w:left="5038" w:hanging="0"/>
        <w:rPr>
          <w:b/>
        </w:rPr>
      </w:pPr>
      <w:r>
        <w:rPr>
          <w:b/>
        </w:rPr>
      </w:r>
    </w:p>
    <w:tbl>
      <w:tblPr>
        <w:tblW w:w="10036" w:type="dxa"/>
        <w:jc w:val="center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VBand="1" w:noHBand="0" w:lastColumn="0" w:firstColumn="1" w:lastRow="0" w:firstRow="1"/>
      </w:tblPr>
      <w:tblGrid>
        <w:gridCol w:w="618"/>
        <w:gridCol w:w="3913"/>
        <w:gridCol w:w="5505"/>
      </w:tblGrid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9"/>
              <w:widowControl w:val="false"/>
              <w:numPr>
                <w:ilvl w:val="0"/>
                <w:numId w:val="0"/>
              </w:numPr>
              <w:spacing w:before="0" w:after="0"/>
              <w:ind w:left="0" w:firstLine="414"/>
              <w:outlineLvl w:val="2"/>
              <w:rPr/>
            </w:pPr>
            <w:r>
              <w:rPr>
                <w:rFonts w:eastAsia="Times New Roman"/>
              </w:rPr>
              <w:t>Требования к Участнику</w:t>
            </w:r>
          </w:p>
        </w:tc>
        <w:tc>
          <w:tcPr>
            <w:tcW w:w="5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outlineLvl w:val="2"/>
              <w:rPr/>
            </w:pPr>
            <w:r>
              <w:rPr>
                <w:rFonts w:eastAsia="Times New Roman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7" w:leader="none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29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2"/>
              <w:rPr/>
            </w:pPr>
            <w:r>
              <w:rPr>
                <w:rFonts w:eastAsia="Times New Roman"/>
                <w:b w:val="false"/>
              </w:rPr>
              <w:t>Наличие у Участника закупочной процедуры опыта выполнения работ по ремонту складов горюче-смазочных материалов, (не менее одного) за последние 3 (три) года, предшествующие дате подачи заявки Участников на участие в настоящей закупочной процедуре, при этом учитываются только выполненные    Участником договоры (с учетом правопреемственности).</w:t>
            </w:r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2"/>
              <w:rPr>
                <w:rFonts w:eastAsia="Times New Roman"/>
                <w:b w:val="false"/>
              </w:rPr>
            </w:pPr>
            <w:r>
              <w:rPr>
                <w:rFonts w:eastAsia="Times New Roman"/>
                <w:b w:val="false"/>
              </w:rPr>
            </w:r>
          </w:p>
          <w:p>
            <w:pPr>
              <w:pStyle w:val="Style29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2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Соответствие установленному требованию подтверждается путем представления участником закупки в составе заявки сведений о ранее выполненных договорах по форме Приложения № 4 к Документации о закупке - Формы документов заявки «Справка об опыте Участника» (форма 7), приведенной в Документации о закупке.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Указанные в форме данные подтверждаются путем предоставления Участником ска</w:t>
            </w:r>
            <w:bookmarkStart w:id="27" w:name="_GoBack"/>
            <w:bookmarkEnd w:id="27"/>
            <w:r>
              <w:rPr>
                <w:sz w:val="24"/>
                <w:szCs w:val="24"/>
              </w:rPr>
              <w:t>нов-копий договоров либо их частей (с приложением документов, предусмотренных требованиями договора, подтверждающих факт его исполнения).</w:t>
            </w:r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2"/>
              <w:rPr>
                <w:rFonts w:eastAsia="Times New Roman"/>
                <w:b w:val="false"/>
              </w:rPr>
            </w:pPr>
            <w:r>
              <w:rPr>
                <w:rFonts w:eastAsia="Times New Roman"/>
                <w:b w:val="false"/>
              </w:rPr>
              <w:t>К рассмотрению не принимаются подтверждающие документы, не указанные в «Справке об опыте Участника», а также сведения, не позволяющие явным (однозначным) образом определить опыт Участника.</w:t>
            </w:r>
          </w:p>
          <w:p>
            <w:pPr>
              <w:pStyle w:val="Style29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2"/>
              <w:rPr/>
            </w:pPr>
            <w:r>
              <w:rPr>
                <w:rFonts w:eastAsia="Times New Roman"/>
                <w:bCs/>
              </w:rPr>
              <w:t>Не является отборочным критерием.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7" w:leader="none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Наличие аттестационного удостоверения (НАКС) на специалистов и сварщиков сварочного производства, прошедших аттестацию в соответствии с требованиями постановления Федерального горного и промышленного надзора России от 30 октября 1998 г. N 63 "Об утверждении Правил аттестации сварщиков и специалистов сварочного производства".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Наличие аттестации в области промышленной безопасности в объеме требований, необходимых для исполнения ими трудовых обязанностей у руководителя организации и работников на которых возложено руководство производственной деятельностью при выполнении указанных ремонтных работ.</w:t>
            </w:r>
          </w:p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4"/>
                <w:szCs w:val="24"/>
              </w:rPr>
              <w:t>Наличие согласия на обработку персональных данных на каждого работника.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709" w:leader="none"/>
                <w:tab w:val="left" w:pos="851" w:leader="none"/>
              </w:tabs>
              <w:ind w:left="0" w:hanging="0"/>
              <w:jc w:val="both"/>
              <w:rPr/>
            </w:pPr>
            <w:r>
              <w:rPr/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color w:val="000000"/>
                <w:sz w:val="24"/>
                <w:szCs w:val="24"/>
              </w:rPr>
              <w:t>Копия аттестационного удостоверения (НАКС) специалистов/сварщиков сварочного производства, допущенных: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bCs/>
                <w:color w:val="000000"/>
                <w:sz w:val="24"/>
                <w:szCs w:val="24"/>
              </w:rPr>
              <w:t>к руководству и техническому контролю за проведением сварочных работ группы технических устройств опасных производственных объектов: Оборудование химических, нефтехимических, нефтеперерабатывающих и взрывопожароопасных производств (п 4. Резервуары для хранения взрывопожароопасных и токсичных веществ) и/или Нефтегазодобывающее оборудование (п. 5 Резервуары для хранения нефти и нефтепродуктов, газгольдеры газовых хранилищ при сооружении и ремонте) (не менее чем на 1 работника);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color w:val="000000"/>
                <w:sz w:val="24"/>
                <w:szCs w:val="24"/>
              </w:rPr>
              <w:t>- к производству сварочных работ группы технических устройств опасных производственных объектов: Оборудование химических, нефтехимических, нефтеперерабатывающих и взрывопожароопасных производств (п 4. Резервуары для хранения взрывопожароопасных и токсичных веществ) и/или Нефтегазодобывающее оборудование (п. 5 Резервуары для хранения нефти и нефтепродуктов, газгольдеры газовых хранилищ при сооружении и ремонте) (не менее чем на 1 работника).</w:t>
            </w:r>
          </w:p>
          <w:p>
            <w:pPr>
              <w:pStyle w:val="Normal"/>
              <w:widowControl w:val="false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Копия протокола аттестации в области промышленной безопасности.</w:t>
            </w:r>
          </w:p>
          <w:p>
            <w:pPr>
              <w:pStyle w:val="Normal"/>
              <w:widowControl w:val="false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Согласие на обработку персональных данных на каждого работника.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Отсутствие подтверждающих документов и согласия является основанием для отклонения заявки Участника.</w:t>
            </w:r>
          </w:p>
        </w:tc>
      </w:tr>
      <w:tr>
        <w:trPr>
          <w:trHeight w:val="336" w:hRule="atLeast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7" w:leader="none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80" w:before="62" w:after="0"/>
              <w:jc w:val="both"/>
              <w:rPr/>
            </w:pPr>
            <w:r>
              <w:rPr>
                <w:color w:val="000000"/>
                <w:sz w:val="24"/>
                <w:u w:val="single"/>
              </w:rPr>
              <w:t>Требования к наличию лицензии:</w:t>
            </w:r>
          </w:p>
          <w:p>
            <w:pPr>
              <w:pStyle w:val="Normal"/>
              <w:widowControl w:val="false"/>
              <w:shd w:val="clear" w:color="FFFFFF" w:fill="FFFFFF"/>
              <w:spacing w:lineRule="atLeast" w:line="280" w:before="62" w:after="0"/>
              <w:jc w:val="both"/>
              <w:rPr/>
            </w:pPr>
            <w:r>
              <w:rPr>
                <w:color w:val="000000"/>
                <w:sz w:val="24"/>
              </w:rPr>
              <w:t>Наличие у Исполнителя действующей лицензии на проведение экспертизы промышленной безопасности для опасных производственных объектов.</w:t>
            </w:r>
          </w:p>
        </w:tc>
        <w:tc>
          <w:tcPr>
            <w:tcW w:w="5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lineRule="atLeast" w:line="280" w:before="62" w:after="62"/>
              <w:jc w:val="both"/>
              <w:rPr/>
            </w:pPr>
            <w:r>
              <w:rPr>
                <w:rStyle w:val="Strong"/>
                <w:b w:val="false"/>
                <w:bCs w:val="false"/>
                <w:color w:val="000000"/>
                <w:sz w:val="24"/>
                <w:szCs w:val="24"/>
              </w:rPr>
              <w:t>В составе заявки Участник должен предоставить следующие документы:</w:t>
            </w:r>
          </w:p>
          <w:p>
            <w:pPr>
              <w:pStyle w:val="BodyText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0" w:leader="none"/>
              </w:tabs>
              <w:spacing w:before="0" w:after="0"/>
              <w:rPr/>
            </w:pPr>
            <w:r>
              <w:rPr>
                <w:sz w:val="24"/>
                <w:szCs w:val="24"/>
              </w:rPr>
              <w:t xml:space="preserve">Копию действующей лицензии </w:t>
            </w:r>
            <w:r>
              <w:rPr>
                <w:rStyle w:val="Strong"/>
                <w:b w:val="false"/>
                <w:bCs w:val="false"/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копию договора с организацией, имеющей соответствующую лицензию на проведение </w:t>
            </w:r>
            <w:r>
              <w:rPr>
                <w:color w:val="000000"/>
                <w:sz w:val="24"/>
                <w:szCs w:val="24"/>
              </w:rPr>
              <w:t>экспертизы промышленной безопасности для опасных производственных объектов.</w:t>
            </w:r>
          </w:p>
          <w:p>
            <w:pPr>
              <w:pStyle w:val="BodyText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Выписку из реестра лицензий.</w:t>
            </w:r>
          </w:p>
          <w:p>
            <w:pPr>
              <w:pStyle w:val="Normal"/>
              <w:widowControl w:val="false"/>
              <w:spacing w:lineRule="atLeast" w:line="280" w:before="62" w:after="0"/>
              <w:jc w:val="both"/>
              <w:rPr>
                <w:b/>
              </w:rPr>
            </w:pPr>
            <w:r>
              <w:rPr>
                <w:b/>
                <w:color w:val="000000"/>
                <w:sz w:val="24"/>
              </w:rPr>
              <w:t>Отсутствие в составе заявки требуемых документов является основанием для отклонения заявки Участника.</w:t>
            </w:r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12"/>
          <w:footerReference w:type="first" r:id="rId13"/>
          <w:type w:val="nextPage"/>
          <w:pgSz w:w="11906" w:h="16838"/>
          <w:pgMar w:left="992" w:right="1134" w:gutter="0" w:header="0" w:top="680" w:footer="0" w:bottom="851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Heading1"/>
        <w:tabs>
          <w:tab w:val="clear" w:pos="0"/>
          <w:tab w:val="left" w:pos="851" w:leader="none"/>
        </w:tabs>
        <w:ind w:left="0" w:hanging="0"/>
        <w:jc w:val="center"/>
        <w:rPr>
          <w:b/>
          <w:bCs/>
        </w:rPr>
      </w:pPr>
      <w:r>
        <w:rPr>
          <w:b/>
          <w:bCs/>
          <w:sz w:val="24"/>
        </w:rPr>
        <w:t>4. Требования к Участникам закупочных процедур в части ценообразования</w:t>
      </w:r>
    </w:p>
    <w:p>
      <w:pPr>
        <w:pStyle w:val="Normal"/>
        <w:snapToGrid w:val="false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>
      <w:pPr>
        <w:pStyle w:val="ListParagraph"/>
        <w:widowControl w:val="false"/>
        <w:numPr>
          <w:ilvl w:val="1"/>
          <w:numId w:val="9"/>
        </w:numPr>
        <w:tabs>
          <w:tab w:val="clear" w:pos="708"/>
          <w:tab w:val="left" w:pos="426" w:leader="none"/>
        </w:tabs>
        <w:suppressAutoHyphens w:val="true"/>
        <w:overflowPunct w:val="true"/>
        <w:bidi w:val="0"/>
        <w:spacing w:before="60" w:after="0"/>
        <w:ind w:left="737" w:right="0" w:firstLine="454"/>
        <w:contextualSpacing/>
        <w:jc w:val="both"/>
        <w:rPr/>
      </w:pPr>
      <w:r>
        <w:rPr>
          <w:sz w:val="24"/>
          <w:szCs w:val="24"/>
        </w:rPr>
        <w:t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ListParagraph"/>
        <w:widowControl w:val="false"/>
        <w:numPr>
          <w:ilvl w:val="1"/>
          <w:numId w:val="9"/>
        </w:numPr>
        <w:tabs>
          <w:tab w:val="clear" w:pos="708"/>
          <w:tab w:val="left" w:pos="426" w:leader="none"/>
        </w:tabs>
        <w:suppressAutoHyphens w:val="true"/>
        <w:overflowPunct w:val="true"/>
        <w:bidi w:val="0"/>
        <w:spacing w:before="60" w:after="0"/>
        <w:ind w:left="737" w:right="0" w:firstLine="454"/>
        <w:contextualSpacing/>
        <w:jc w:val="both"/>
        <w:rPr/>
      </w:pPr>
      <w:r>
        <w:rPr>
          <w:sz w:val="24"/>
          <w:szCs w:val="24"/>
        </w:rPr>
        <w:t>4.2. Дополнительные документы по ценообразованию в состав заявки Участника не включаются.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center"/>
        <w:rPr>
          <w:b/>
          <w:sz w:val="24"/>
          <w:szCs w:val="24"/>
        </w:rPr>
      </w:pPr>
      <w:bookmarkStart w:id="28" w:name="_Toc54646412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28"/>
      <w:r>
        <w:rPr>
          <w:b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4.3. Требования к составлению сметной документации (при заключении договора):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4.3.1. </w:t>
      </w:r>
      <w:r>
        <w:rPr>
          <w:bCs/>
          <w:sz w:val="24"/>
          <w:szCs w:val="24"/>
        </w:rPr>
        <w:t>Сметная докумен</w:t>
      </w:r>
      <w:r>
        <w:rPr>
          <w:b w:val="false"/>
          <w:bCs w:val="false"/>
          <w:sz w:val="24"/>
          <w:szCs w:val="24"/>
        </w:rPr>
        <w:t>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случает составления одной сметы, но перед начислением НДС).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4.3.2. Внесение изменений в сметную документацию Заказчика, кроме применения понижающего коэффициента в соответствии с п. 4.3.1, не допускается.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4.4. Требования к составлению сметной документации (на этапе исполнения договора):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4.4.1. 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4.4.2.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ind w:left="720" w:firstLine="426"/>
        <w:contextualSpacing/>
        <w:jc w:val="both"/>
        <w:rPr>
          <w:sz w:val="24"/>
          <w:szCs w:val="24"/>
        </w:rPr>
      </w:pPr>
      <w:r>
        <w:rPr>
          <w:b w:val="false"/>
          <w:bCs w:val="false"/>
          <w:sz w:val="24"/>
          <w:szCs w:val="24"/>
        </w:rPr>
        <w:t>4.4.3. Акт выполненных работ (КС-2) составляется подрядной организацией на основании договорной сметы.</w:t>
      </w:r>
    </w:p>
    <w:p>
      <w:pPr>
        <w:pStyle w:val="ListParagraph"/>
        <w:rPr>
          <w:b/>
          <w:iCs/>
        </w:rPr>
      </w:pPr>
      <w:r>
        <w:rPr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Normal"/>
        <w:rPr>
          <w:rFonts w:eastAsia="Calibri"/>
          <w:b/>
          <w:iCs/>
        </w:rPr>
      </w:pPr>
      <w:r>
        <w:rPr>
          <w:rFonts w:eastAsia="Calibri"/>
          <w:b/>
          <w:iCs/>
        </w:rPr>
      </w:r>
    </w:p>
    <w:p>
      <w:pPr>
        <w:pStyle w:val="Heading1"/>
        <w:keepLines/>
        <w:tabs>
          <w:tab w:val="clear" w:pos="0"/>
        </w:tabs>
        <w:ind w:left="360" w:hanging="0"/>
        <w:jc w:val="center"/>
        <w:rPr>
          <w:rStyle w:val="Style9"/>
          <w:b/>
          <w:i w:val="false"/>
          <w:i w:val="false"/>
          <w:iCs/>
          <w:caps/>
          <w:sz w:val="24"/>
          <w:shd w:fill="auto" w:val="clear"/>
        </w:rPr>
      </w:pPr>
      <w:bookmarkStart w:id="29" w:name="__RefHeading___Toc15553_366233758"/>
      <w:bookmarkStart w:id="30" w:name="_Toc20"/>
      <w:bookmarkEnd w:id="29"/>
      <w:r>
        <w:rPr>
          <w:iCs/>
          <w:sz w:val="24"/>
        </w:rPr>
        <w:t>5. Приложения</w:t>
      </w:r>
      <w:bookmarkEnd w:id="30"/>
    </w:p>
    <w:p>
      <w:pPr>
        <w:pStyle w:val="Normal"/>
        <w:spacing w:before="0" w:after="120"/>
        <w:contextualSpacing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1: </w:t>
      </w:r>
      <w:r>
        <w:rPr>
          <w:sz w:val="24"/>
          <w:szCs w:val="24"/>
        </w:rPr>
        <w:t>Регламент</w:t>
      </w:r>
      <w:r>
        <w:rPr>
          <w:rFonts w:eastAsia="Arial Unicode MS"/>
          <w:sz w:val="24"/>
          <w:szCs w:val="24"/>
        </w:rPr>
        <w:t xml:space="preserve"> допуска подрядных организаций и командированного персонала на объекты АО «Сахаэнерго» ИСМ РГ-00-017.03-23;</w:t>
      </w:r>
    </w:p>
    <w:p>
      <w:pPr>
        <w:pStyle w:val="Normal"/>
        <w:spacing w:before="0" w:after="120"/>
        <w:contextualSpacing/>
        <w:rPr>
          <w:bCs/>
          <w:iCs/>
          <w:sz w:val="24"/>
          <w:szCs w:val="24"/>
          <w:lang w:eastAsia="en-US"/>
        </w:rPr>
      </w:pPr>
      <w:r>
        <w:rPr>
          <w:bCs/>
          <w:sz w:val="24"/>
          <w:szCs w:val="24"/>
        </w:rPr>
        <w:t xml:space="preserve">Приложение № 2: </w:t>
      </w:r>
      <w:r>
        <w:rPr>
          <w:sz w:val="24"/>
          <w:szCs w:val="24"/>
        </w:rPr>
        <w:t>Локальный ресурсный сметный расчет</w:t>
      </w:r>
      <w:r>
        <w:rPr>
          <w:bCs/>
          <w:iCs/>
          <w:sz w:val="24"/>
          <w:szCs w:val="24"/>
          <w:lang w:eastAsia="en-US"/>
        </w:rPr>
        <w:t>;</w:t>
      </w:r>
    </w:p>
    <w:p>
      <w:pPr>
        <w:pStyle w:val="Normal"/>
        <w:spacing w:before="0" w:after="120"/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3: </w:t>
      </w:r>
      <w:bookmarkStart w:id="31" w:name="_Ref40301253"/>
      <w:bookmarkEnd w:id="31"/>
      <w:r>
        <w:rPr>
          <w:bCs/>
          <w:sz w:val="24"/>
          <w:szCs w:val="24"/>
        </w:rPr>
        <w:t>Сводный сметный расчет стоимости строительства</w:t>
      </w:r>
    </w:p>
    <w:p>
      <w:pPr>
        <w:pStyle w:val="Normal"/>
        <w:spacing w:before="0" w:after="120"/>
        <w:contextualSpacing/>
        <w:rPr>
          <w:sz w:val="24"/>
          <w:szCs w:val="24"/>
        </w:rPr>
      </w:pPr>
      <w:r>
        <w:rPr>
          <w:sz w:val="24"/>
          <w:szCs w:val="24"/>
        </w:rPr>
        <w:t>Приложение № 4: Письмо-согласие со сметной документацией Заказчика;</w:t>
      </w:r>
    </w:p>
    <w:p>
      <w:pPr>
        <w:pStyle w:val="Normal"/>
        <w:spacing w:before="0" w:after="120"/>
        <w:contextualSpacing/>
        <w:rPr>
          <w:sz w:val="24"/>
          <w:szCs w:val="24"/>
        </w:rPr>
      </w:pPr>
      <w:r>
        <w:rPr>
          <w:sz w:val="24"/>
          <w:szCs w:val="24"/>
        </w:rPr>
        <w:t>Приложение № 5: Перечень передаваемых давальческих МТР.</w:t>
      </w:r>
    </w:p>
    <w:p>
      <w:pPr>
        <w:pStyle w:val="Normal"/>
        <w:spacing w:before="0" w:after="120"/>
        <w:contextualSpacing/>
        <w:rPr>
          <w:rFonts w:eastAsia="Lucida Sans Unicode"/>
          <w:color w:val="000000"/>
          <w:sz w:val="24"/>
          <w:szCs w:val="24"/>
          <w:lang w:eastAsia="hi-IN" w:bidi="hi-IN"/>
        </w:rPr>
      </w:pPr>
      <w:r>
        <w:rPr>
          <w:rFonts w:eastAsia="Lucida Sans Unicode"/>
          <w:color w:val="000000"/>
          <w:sz w:val="24"/>
          <w:szCs w:val="24"/>
          <w:lang w:eastAsia="hi-IN" w:bidi="hi-IN"/>
        </w:rPr>
      </w:r>
    </w:p>
    <w:p>
      <w:pPr>
        <w:sectPr>
          <w:headerReference w:type="even" r:id="rId14"/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w="11906" w:h="16838"/>
          <w:pgMar w:left="1134" w:right="851" w:gutter="0" w:header="0" w:top="680" w:footer="992" w:bottom="1597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0" w:after="12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№4 к Техническим требованиям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8131" w:type="dxa"/>
        <w:jc w:val="left"/>
        <w:tblInd w:w="2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4585"/>
        <w:gridCol w:w="3545"/>
      </w:tblGrid>
      <w:tr>
        <w:trPr>
          <w:trHeight w:val="1999" w:hRule="atLeast"/>
        </w:trPr>
        <w:tc>
          <w:tcPr>
            <w:tcW w:w="4585" w:type="dxa"/>
            <w:tcBorders/>
          </w:tcPr>
          <w:p>
            <w:pPr>
              <w:pStyle w:val="Normal"/>
              <w:widowControl w:val="false"/>
              <w:ind w:left="851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left="851" w:hanging="0"/>
              <w:rPr/>
            </w:pPr>
            <w:r>
              <w:rPr/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i/>
              </w:rPr>
              <w:t>НА ФИРМЕННОМ БЛАНКЕ ПРЕДПРИЯТИЯ</w:t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ind w:left="851" w:firstLine="70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widowControl w:val="false"/>
              <w:ind w:left="851" w:hanging="0"/>
              <w:jc w:val="right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b/>
        </w:rPr>
      </w:pPr>
      <w:r>
        <w:rPr>
          <w:b/>
        </w:rPr>
        <w:t>Письмо-согласие со сметной документацией Заказчика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_____________________________, в лице ____________________________________________, </w:t>
      </w:r>
    </w:p>
    <w:p>
      <w:pPr>
        <w:pStyle w:val="Normal"/>
        <w:rPr>
          <w:rFonts w:ascii="Book Antiqua" w:hAnsi="Book Antiqua"/>
          <w:i/>
          <w:i/>
          <w:sz w:val="22"/>
          <w:szCs w:val="22"/>
        </w:rPr>
      </w:pPr>
      <w:r>
        <w:rPr>
          <w:rFonts w:ascii="Book Antiqua" w:hAnsi="Book Antiqua"/>
          <w:i/>
          <w:sz w:val="22"/>
          <w:szCs w:val="22"/>
        </w:rPr>
        <w:t xml:space="preserve">           </w:t>
      </w:r>
      <w:r>
        <w:rPr>
          <w:rFonts w:ascii="Book Antiqua" w:hAnsi="Book Antiqua"/>
          <w:i/>
          <w:sz w:val="18"/>
          <w:szCs w:val="22"/>
        </w:rPr>
        <w:t xml:space="preserve">наименование Участника                               </w:t>
      </w:r>
      <w:r>
        <w:rPr>
          <w:i/>
          <w:sz w:val="18"/>
        </w:rPr>
        <w:t>должность, фамилия, имя, отчество руководителя</w:t>
      </w:r>
    </w:p>
    <w:p>
      <w:pPr>
        <w:pStyle w:val="Normal"/>
        <w:spacing w:lineRule="auto" w:line="27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настоящим сообщаю о согласии с опубликованной в закупочной документации </w:t>
      </w:r>
    </w:p>
    <w:p>
      <w:pPr>
        <w:pStyle w:val="Normal"/>
        <w:spacing w:lineRule="auto" w:line="276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Лота № _____ «__________________________________________________________________» сметной документацией Заказчика, включающей в себя все затраты, необходимые для выполнения работ с применением понижающего коэффициента ___________________</w:t>
      </w:r>
    </w:p>
    <w:p>
      <w:pPr>
        <w:pStyle w:val="Normal"/>
        <w:jc w:val="center"/>
        <w:rPr>
          <w:rFonts w:ascii="Book Antiqua" w:hAnsi="Book Antiqua"/>
          <w:i/>
          <w:i/>
          <w:sz w:val="18"/>
          <w:szCs w:val="22"/>
        </w:rPr>
      </w:pPr>
      <w:r>
        <w:rPr>
          <w:rFonts w:ascii="Book Antiqua" w:hAnsi="Book Antiqua"/>
          <w:i/>
          <w:sz w:val="18"/>
          <w:szCs w:val="22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Book Antiqua" w:hAnsi="Book Antiqua"/>
          <w:i/>
          <w:sz w:val="18"/>
          <w:szCs w:val="22"/>
        </w:rPr>
        <w:t>значение коэффициента</w:t>
      </w:r>
    </w:p>
    <w:p>
      <w:pPr>
        <w:pStyle w:val="Normal"/>
        <w:spacing w:lineRule="auto" w:line="276"/>
        <w:rPr/>
      </w:pPr>
      <w:r>
        <w:rPr>
          <w:rFonts w:ascii="Book Antiqua" w:hAnsi="Book Antiqua"/>
          <w:sz w:val="22"/>
          <w:szCs w:val="22"/>
        </w:rPr>
        <w:t xml:space="preserve">к общей стоимости или командировочным затратам и/или доставке материалов и/или перебазировке </w:t>
      </w:r>
      <w:r>
        <w:rPr>
          <w:i/>
          <w:iCs/>
          <w:color w:val="0070C0"/>
          <w:sz w:val="26"/>
          <w:szCs w:val="26"/>
          <w:highlight w:val="lightGray"/>
        </w:rPr>
        <w:t>[выбрать необходимое]</w:t>
      </w:r>
    </w:p>
    <w:p>
      <w:pPr>
        <w:pStyle w:val="Normal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</w:r>
    </w:p>
    <w:p>
      <w:pPr>
        <w:pStyle w:val="Normal"/>
        <w:rPr/>
      </w:pPr>
      <w:r>
        <w:rPr/>
        <w:t>___________________________                             _______________                    ____________________________</w:t>
      </w:r>
    </w:p>
    <w:p>
      <w:pPr>
        <w:pStyle w:val="Normal"/>
        <w:rPr>
          <w:i/>
          <w:i/>
        </w:rPr>
      </w:pPr>
      <w:r>
        <w:rPr>
          <w:i/>
        </w:rPr>
        <w:t xml:space="preserve">               </w:t>
      </w:r>
      <w:r>
        <w:rPr>
          <w:i/>
        </w:rPr>
        <w:t>должность                                                          подпись                                                    Ф.И.О.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М.П.</w:t>
      </w:r>
    </w:p>
    <w:p>
      <w:pPr>
        <w:pStyle w:val="Normal"/>
        <w:jc w:val="right"/>
        <w:rPr>
          <w:rFonts w:eastAsia="Calibri" w:eastAsiaTheme="minorHAnsi"/>
          <w:sz w:val="24"/>
          <w:szCs w:val="24"/>
          <w:lang w:eastAsia="en-US"/>
        </w:rPr>
      </w:pPr>
      <w:r>
        <w:rPr>
          <w:rFonts w:eastAsia="Calibri" w:eastAsiaTheme="minorHAnsi"/>
          <w:sz w:val="24"/>
          <w:szCs w:val="24"/>
          <w:lang w:eastAsia="en-US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5 к Техническим требованиям</w:t>
      </w:r>
    </w:p>
    <w:p>
      <w:pPr>
        <w:pStyle w:val="Normal"/>
        <w:tabs>
          <w:tab w:val="clear" w:pos="708"/>
          <w:tab w:val="left" w:pos="4414" w:leader="none"/>
        </w:tabs>
        <w:rPr/>
      </w:pPr>
      <w:r>
        <w:rPr/>
      </w:r>
    </w:p>
    <w:p>
      <w:pPr>
        <w:pStyle w:val="Normal"/>
        <w:ind w:left="720" w:firstLine="9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Перечень передаваемых Давальческих материалов и запасных частей</w:t>
      </w:r>
    </w:p>
    <w:p>
      <w:pPr>
        <w:pStyle w:val="Normal"/>
        <w:ind w:left="720" w:firstLine="9"/>
        <w:jc w:val="center"/>
        <w:rPr>
          <w:bCs/>
          <w:sz w:val="23"/>
          <w:szCs w:val="23"/>
        </w:rPr>
      </w:pPr>
      <w:r>
        <w:rPr>
          <w:bCs/>
          <w:sz w:val="23"/>
          <w:szCs w:val="23"/>
        </w:rPr>
      </w:r>
    </w:p>
    <w:tbl>
      <w:tblPr>
        <w:tblW w:w="10024" w:type="dxa"/>
        <w:jc w:val="left"/>
        <w:tblInd w:w="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996"/>
        <w:gridCol w:w="5306"/>
        <w:gridCol w:w="1918"/>
        <w:gridCol w:w="1803"/>
      </w:tblGrid>
      <w:tr>
        <w:trPr>
          <w:trHeight w:val="567" w:hRule="atLeast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материала</w:t>
              <w:br/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Предохранительный клапан КПГ-150 УХЛ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Лист 4 мм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м/м2/тн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1/0,50/0,024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Полоса стальная 150*4 мм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 / 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32,730 / 0,154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Грунтовка ГФ-021 ГОСТ 25129-82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м2 / кг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/ 2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Эмаль ПФ-115 (серая) ГОСТ 6465-76 в 2 раза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м2 / кг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 / 1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Дыхательный клапан КДС-ПО-1500 DN150 с огнепреградителем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Лист 6 мм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м/м2/тн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1,73/0,24/0,012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Дыхательный клапан СМДК-50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Лист 6 мм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м/м2/тн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0,85/0,12/0,06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Труба бесшовная горячедеформированная В 57х4 Ст20 ГОСТ 8732-78, ГОСТ 8731-74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12/0,062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Труба стальная электросварная прямошовная 32х2.5мм Ст3 ГОСТ 10704-91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12/0,026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Круг стальной 16мм Ст20 ГОСТ 2590-2006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11,4/0,018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Арматура стальная 8мм А-III 25ГС А400 ГОСТ 5781 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м/тн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7,8/0,003</w:t>
            </w:r>
          </w:p>
        </w:tc>
      </w:tr>
      <w:tr>
        <w:trPr>
          <w:trHeight w:val="300" w:hRule="atLeast"/>
        </w:trPr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3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Грунт-эмаль по ржавчине 3 в 1 серая 0.9кг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м2/кг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6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1,7/1</w:t>
            </w:r>
          </w:p>
        </w:tc>
      </w:tr>
    </w:tbl>
    <w:p>
      <w:pPr>
        <w:pStyle w:val="Normal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rPr>
          <w:bCs/>
          <w:i/>
          <w:i/>
          <w:iCs/>
          <w:sz w:val="24"/>
          <w:szCs w:val="24"/>
          <w:shd w:fill="FFFF99" w:val="clear"/>
        </w:rPr>
      </w:pPr>
      <w:r>
        <w:rPr>
          <w:bCs/>
          <w:i/>
          <w:iCs/>
          <w:sz w:val="24"/>
          <w:szCs w:val="24"/>
          <w:shd w:fill="FFFF99" w:val="clear"/>
        </w:rPr>
      </w:r>
    </w:p>
    <w:p>
      <w:pPr>
        <w:pStyle w:val="Normal"/>
        <w:spacing w:before="0" w:after="120"/>
        <w:contextualSpacing/>
        <w:rPr>
          <w:bCs/>
          <w:i/>
          <w:i/>
          <w:iCs/>
          <w:sz w:val="24"/>
          <w:szCs w:val="24"/>
          <w:shd w:fill="FFFF99" w:val="clear"/>
        </w:rPr>
      </w:pPr>
      <w:r>
        <w:rPr/>
      </w:r>
    </w:p>
    <w:sectPr>
      <w:headerReference w:type="default" r:id="rId19"/>
      <w:headerReference w:type="first" r:id="rId20"/>
      <w:footerReference w:type="default" r:id="rId21"/>
      <w:footerReference w:type="first" r:id="rId22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Times New Roman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4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28</w:t>
    </w:r>
    <w:r>
      <w:rPr/>
      <w:fldChar w:fldCharType="end"/>
    </w:r>
  </w:p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2"/>
        <w:szCs w:val="22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4"/>
        <w:szCs w:val="24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23</w:t>
    </w:r>
    <w:r>
      <w:rPr/>
      <w:fldChar w:fldCharType="end"/>
    </w:r>
  </w:p>
  <w:p>
    <w:pPr>
      <w:pStyle w:val="Normal"/>
      <w:rPr>
        <w:sz w:val="24"/>
        <w:szCs w:val="24"/>
      </w:rPr>
    </w:pPr>
    <w:r>
      <w:rPr>
        <w:sz w:val="24"/>
        <w:szCs w:val="24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Normal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>
        <w:sz w:val="24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25</w:t>
    </w:r>
    <w:r>
      <w:rPr/>
      <w:fldChar w:fldCharType="end"/>
    </w:r>
  </w:p>
  <w:p>
    <w:pPr>
      <w:pStyle w:val="Normal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4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26</w:t>
    </w:r>
    <w:r>
      <w:rPr/>
      <w:fldChar w:fldCharType="end"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29</w:t>
    </w:r>
    <w:r>
      <w:rPr/>
      <w:fldChar w:fldCharType="end"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±㟢࿝ᇨ±ýⓩ릩Ꮼ±࿠( Èý২༸࿠㼢ᖁ࠘Ä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±㟢࿝ᇨ±ýⓩ릩Ꮼ±࿠২༸ȯᇨ±ý২༸࿠䊈ᖁ1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±㟢࿝ᇨ±ýⓩ릩Ꮼ±࿠২༸ȯᇨ±ý২༸࿠䕎ᖁ1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±㟢࿝ᇨ±ýⓩ릩Ꮼ±࿠২༸ȯᇨ±ý২༸࿠䠎ᖁ1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8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3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5"/>
    <w:uiPriority w:val="9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ootnoteTextChar" w:customStyle="1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 w:customStyle="1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color w:val="2F5496" w:themeColor="accent1" w:themeShade="bf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1" w:customStyle="1">
    <w:name w:val="Название Знак1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11" w:customStyle="1">
    <w:name w:val="Подзаголовок Знак1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 w:customStyle="1">
    <w:name w:val="Quote Char"/>
    <w:basedOn w:val="DefaultParagraphFont"/>
    <w:uiPriority w:val="29"/>
    <w:qFormat/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uiPriority w:val="30"/>
    <w:qFormat/>
    <w:rPr>
      <w:i/>
      <w:iCs/>
      <w:color w:val="2F5496" w:themeColor="accent1" w:themeShade="bf"/>
    </w:rPr>
  </w:style>
  <w:style w:type="character" w:styleId="12" w:customStyle="1">
    <w:name w:val="Верхний колонтитул Знак1"/>
    <w:basedOn w:val="DefaultParagraphFont"/>
    <w:uiPriority w:val="99"/>
    <w:qFormat/>
    <w:rPr/>
  </w:style>
  <w:style w:type="character" w:styleId="Style" w:customStyle="1">
    <w:name w:val="Нижний колонтитул Знак"/>
    <w:basedOn w:val="DefaultParagraphFont"/>
    <w:uiPriority w:val="99"/>
    <w:qFormat/>
    <w:rPr/>
  </w:style>
  <w:style w:type="character" w:styleId="13" w:customStyle="1">
    <w:name w:val="Текст сноски Знак1"/>
    <w:basedOn w:val="DefaultParagraphFont"/>
    <w:uiPriority w:val="99"/>
    <w:semiHidden/>
    <w:qFormat/>
    <w:rPr>
      <w:sz w:val="20"/>
      <w:szCs w:val="20"/>
    </w:rPr>
  </w:style>
  <w:style w:type="character" w:styleId="14" w:customStyle="1">
    <w:name w:val="Текст концевой сноски Знак1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Style1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1" w:customStyle="1">
    <w:name w:val="Strong1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5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2" w:customStyle="1">
    <w:name w:val="Название Знак"/>
    <w:link w:val="110"/>
    <w:uiPriority w:val="10"/>
    <w:qFormat/>
    <w:rPr>
      <w:sz w:val="28"/>
    </w:rPr>
  </w:style>
  <w:style w:type="character" w:styleId="Style3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4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5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6" w:customStyle="1">
    <w:name w:val="Подпункт Знак1"/>
    <w:link w:val="Style23"/>
    <w:qFormat/>
    <w:rPr>
      <w:sz w:val="28"/>
    </w:rPr>
  </w:style>
  <w:style w:type="character" w:styleId="Style6" w:customStyle="1">
    <w:name w:val="Текст сноски Знак"/>
    <w:uiPriority w:val="99"/>
    <w:qFormat/>
    <w:rPr/>
  </w:style>
  <w:style w:type="character" w:styleId="Style7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8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9" w:customStyle="1">
    <w:name w:val="комментарий"/>
    <w:qFormat/>
    <w:rPr>
      <w:b/>
      <w:i/>
      <w:shd w:fill="FFFF99" w:val="clear"/>
    </w:rPr>
  </w:style>
  <w:style w:type="character" w:styleId="Style10" w:customStyle="1">
    <w:name w:val="Подподпункт Знак"/>
    <w:link w:val="Style31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1" w:customStyle="1">
    <w:name w:val="Верхний колонтитул Знак"/>
    <w:uiPriority w:val="99"/>
    <w:qFormat/>
    <w:rPr>
      <w:sz w:val="24"/>
      <w:szCs w:val="24"/>
    </w:rPr>
  </w:style>
  <w:style w:type="character" w:styleId="Style12" w:customStyle="1">
    <w:name w:val="Текст примечания Знак"/>
    <w:link w:val="Annotationtext"/>
    <w:semiHidden/>
    <w:qFormat/>
    <w:rPr/>
  </w:style>
  <w:style w:type="character" w:styleId="Style13" w:customStyle="1">
    <w:name w:val="Текст концевой сноски Знак"/>
    <w:basedOn w:val="DefaultParagraphFont"/>
    <w:qFormat/>
    <w:rPr/>
  </w:style>
  <w:style w:type="character" w:styleId="Style14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7" w:customStyle="1">
    <w:name w:val="УРОВЕНЬ_1. Знак"/>
    <w:link w:val="114"/>
    <w:qFormat/>
    <w:rPr>
      <w:rFonts w:eastAsia="Calibri"/>
      <w:caps/>
      <w:sz w:val="28"/>
      <w:szCs w:val="28"/>
      <w:lang w:eastAsia="en-US"/>
    </w:rPr>
  </w:style>
  <w:style w:type="character" w:styleId="18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5" w:customStyle="1">
    <w:name w:val="Ссылка указателя"/>
    <w:qFormat/>
    <w:rPr/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Style17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</w:rPr>
  </w:style>
  <w:style w:type="paragraph" w:styleId="BodyText">
    <w:name w:val="Body Text"/>
    <w:basedOn w:val="Normal"/>
    <w:link w:val="Style7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Style17"/>
    <w:qFormat/>
    <w:pPr/>
    <w:rPr/>
  </w:style>
  <w:style w:type="paragraph" w:styleId="Indexheading11" w:customStyle="1">
    <w:name w:val="index heading11"/>
    <w:basedOn w:val="Style17"/>
    <w:qFormat/>
    <w:pPr/>
    <w:rPr/>
  </w:style>
  <w:style w:type="paragraph" w:styleId="Title">
    <w:name w:val="Title"/>
    <w:basedOn w:val="Normal"/>
    <w:next w:val="Normal"/>
    <w:link w:val="1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Style17"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13"/>
    <w:uiPriority w:val="99"/>
    <w:pPr/>
    <w:rPr>
      <w:sz w:val="20"/>
      <w:szCs w:val="20"/>
    </w:rPr>
  </w:style>
  <w:style w:type="paragraph" w:styleId="19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0" w:customStyle="1">
    <w:name w:val="Название1"/>
    <w:basedOn w:val="Normal"/>
    <w:link w:val="Style2"/>
    <w:uiPriority w:val="10"/>
    <w:qFormat/>
    <w:pPr>
      <w:jc w:val="center"/>
    </w:pPr>
    <w:rPr>
      <w:szCs w:val="20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12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6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2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11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1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8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4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5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Lohit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ahoma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2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link w:val="Style10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13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link w:val="14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14" w:customStyle="1">
    <w:name w:val="УРОВЕНЬ_1."/>
    <w:basedOn w:val="ListParagraph"/>
    <w:link w:val="17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94" w:customStyle="1">
    <w:name w:val="xl94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5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f1">
    <w:name w:val="Plain Table 1"/>
    <w:basedOn w:val="a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e">
    <w:name w:val="Plain Table 2"/>
    <w:basedOn w:val="a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  <w:tblPr/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a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A0B7E1" w:themeColor="accent1" w:themeTint="80" w:themeShade="95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lastCol">
      <w:rPr>
        <w:b/>
        <w:color w:val="A0B7E1" w:themeColor="accent1" w:themeTint="80" w:themeShade="95"/>
      </w:rPr>
      <w:tblPr/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184" w:themeColor="accent2" w:themeTint="97" w:themeShade="95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Tint="fe" w:themeShade="95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lastCol">
      <w:rPr>
        <w:b/>
        <w:color w:val="A5A5A5"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5" w:themeColor="accent4" w:themeTint="9a" w:themeShade="95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A8D" w:themeColor="accent5" w:themeShade="95"/>
      </w:rPr>
      <w:tblPr/>
    </w:tblStylePr>
    <w:tblStylePr w:type="firstCol">
      <w:rPr>
        <w:b/>
        <w:color w:val="245A8D" w:themeColor="accent5" w:themeShade="95"/>
      </w:rPr>
      <w:tblPr/>
    </w:tblStylePr>
    <w:tblStylePr w:type="lastCol">
      <w:rPr>
        <w:b/>
        <w:color w:val="245A8D"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54175" w:themeColor="accent1" w:themeShade="95"/>
      </w:rPr>
      <w:tblPr/>
    </w:tblStylePr>
    <w:tblStylePr w:type="lastCol">
      <w:rPr>
        <w:b/>
        <w:color w:val="254175" w:themeColor="accent1" w:themeShade="95"/>
      </w:rPr>
      <w:tblPr/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184" w:themeColor="accent2" w:themeTint="97" w:themeShade="95"/>
      </w:rPr>
      <w:tblPr/>
    </w:tblStylePr>
    <w:tblStylePr w:type="lastCol">
      <w:rPr>
        <w:b/>
        <w:color w:val="F4B184"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Tint="98" w:themeShade="95"/>
      </w:rPr>
      <w:tblPr/>
    </w:tblStylePr>
    <w:tblStylePr w:type="lastCol">
      <w:rPr>
        <w:b/>
        <w:color w:val="C9C9C9"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5" w:themeColor="accent4" w:themeTint="9a" w:themeShade="95"/>
      </w:rPr>
      <w:tblPr/>
    </w:tblStylePr>
    <w:tblStylePr w:type="lastCol">
      <w:rPr>
        <w:b/>
        <w:color w:val="FFD865"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color="5B9BD5" w:themeColor="accent5" w:sz="4" w:space="0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9BC2E5" w:themeColor="accent5" w:themeTint="9a" w:themeShade="95"/>
      </w:rPr>
      <w:tblPr/>
    </w:tblStylePr>
    <w:tblStylePr w:type="lastCol">
      <w:rPr>
        <w:b/>
        <w:color w:val="9BC2E5" w:themeColor="accent5" w:themeTint="9a" w:themeShade="95"/>
      </w:rPr>
      <w:tblPr/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Tint="98" w:themeShade="95"/>
      </w:rPr>
      <w:tblPr/>
    </w:tblStylePr>
    <w:tblStylePr w:type="lastCol">
      <w:rPr>
        <w:b/>
        <w:color w:val="A9D08E"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000000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000000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ED7D31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ED7D31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C000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C000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5B9BD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5B9BD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5B9BD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0AD47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70AD47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  <w:tblPr/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5B9BD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5B9BD5" w:themeColor="accent5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5B9BD5" w:themeColor="accent5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color w:val="404040"/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color w:val="404040"/>
        <w:sz w:val="22"/>
      </w:rPr>
      <w:tblPr/>
    </w:tblStylePr>
    <w:tblStylePr w:type="lastCol">
      <w:rPr>
        <w:color w:val="404040"/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color w:val="404040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affffc">
    <w:name w:val="Table Grid"/>
    <w:basedOn w:val="a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f2">
    <w:name w:val="Сетка таблицы1"/>
    <w:basedOn w:val="a5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3">
    <w:name w:val="Сетка таблицы5"/>
    <w:basedOn w:val="a5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header" Target="header4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5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header" Target="header10.xml"/><Relationship Id="rId20" Type="http://schemas.openxmlformats.org/officeDocument/2006/relationships/header" Target="header11.xml"/><Relationship Id="rId21" Type="http://schemas.openxmlformats.org/officeDocument/2006/relationships/footer" Target="footer9.xml"/><Relationship Id="rId22" Type="http://schemas.openxmlformats.org/officeDocument/2006/relationships/footer" Target="footer10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9EC3-7EAE-4CA2-A196-9189B44A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Application>AlterOffice/3.3.0.4$Linux_X86_64 LibreOffice_project/fa736b558560ebea8f92088bfd7720f4b3918f3f</Application>
  <AppVersion>15.0000</AppVersion>
  <Pages>29</Pages>
  <Words>5623</Words>
  <Characters>38301</Characters>
  <CharactersWithSpaces>43417</CharactersWithSpaces>
  <Paragraphs>839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2026-01-19T05:29:00Z</dcterms:created>
  <dc:creator>Быстров Олег Геннадьевич</dc:creator>
  <dc:description/>
  <dc:language>ru-RU</dc:language>
  <cp:lastModifiedBy/>
  <dcterms:modified xsi:type="dcterms:W3CDTF">2026-08-05T15:53:44Z</dcterms:modified>
  <cp:revision>25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